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C" w:rsidRPr="002A00C6" w:rsidRDefault="002A00C6" w:rsidP="00606D53">
      <w:pPr>
        <w:spacing w:before="600" w:line="240" w:lineRule="auto"/>
        <w:rPr>
          <w:color w:val="808080" w:themeColor="background1" w:themeShade="80"/>
          <w:sz w:val="72"/>
          <w:szCs w:val="72"/>
        </w:rPr>
      </w:pPr>
      <w:r w:rsidRPr="002A00C6">
        <w:rPr>
          <w:color w:val="808080" w:themeColor="background1" w:themeShade="80"/>
          <w:sz w:val="72"/>
          <w:szCs w:val="72"/>
        </w:rPr>
        <w:t>Submission</w:t>
      </w:r>
    </w:p>
    <w:p w:rsidR="002A00C6" w:rsidRPr="002A00C6" w:rsidRDefault="002A00C6" w:rsidP="00606D53">
      <w:pPr>
        <w:spacing w:before="600" w:line="240" w:lineRule="auto"/>
        <w:rPr>
          <w:color w:val="808080" w:themeColor="background1" w:themeShade="80"/>
          <w:sz w:val="44"/>
          <w:szCs w:val="44"/>
        </w:rPr>
      </w:pPr>
      <w:proofErr w:type="gramStart"/>
      <w:r w:rsidRPr="002A00C6">
        <w:rPr>
          <w:color w:val="808080" w:themeColor="background1" w:themeShade="80"/>
          <w:sz w:val="44"/>
          <w:szCs w:val="44"/>
        </w:rPr>
        <w:t>to</w:t>
      </w:r>
      <w:proofErr w:type="gramEnd"/>
      <w:r w:rsidRPr="002A00C6">
        <w:rPr>
          <w:color w:val="808080" w:themeColor="background1" w:themeShade="80"/>
          <w:sz w:val="44"/>
          <w:szCs w:val="44"/>
        </w:rPr>
        <w:t xml:space="preserve"> the</w:t>
      </w:r>
    </w:p>
    <w:p w:rsidR="002A00C6" w:rsidRDefault="00FA7C98" w:rsidP="00606D53">
      <w:pPr>
        <w:spacing w:before="600" w:line="240" w:lineRule="auto"/>
        <w:rPr>
          <w:color w:val="808080" w:themeColor="background1" w:themeShade="80"/>
          <w:sz w:val="72"/>
          <w:szCs w:val="72"/>
        </w:rPr>
      </w:pPr>
      <w:r>
        <w:rPr>
          <w:color w:val="808080" w:themeColor="background1" w:themeShade="80"/>
          <w:sz w:val="72"/>
          <w:szCs w:val="72"/>
        </w:rPr>
        <w:t>NZX</w:t>
      </w:r>
    </w:p>
    <w:p w:rsidR="002A00C6" w:rsidRPr="002A00C6" w:rsidRDefault="002A00C6" w:rsidP="00606D53">
      <w:pPr>
        <w:spacing w:before="600" w:line="240" w:lineRule="auto"/>
        <w:rPr>
          <w:color w:val="808080" w:themeColor="background1" w:themeShade="80"/>
          <w:sz w:val="44"/>
          <w:szCs w:val="44"/>
        </w:rPr>
      </w:pPr>
      <w:proofErr w:type="gramStart"/>
      <w:r w:rsidRPr="002A00C6">
        <w:rPr>
          <w:color w:val="808080" w:themeColor="background1" w:themeShade="80"/>
          <w:sz w:val="44"/>
          <w:szCs w:val="44"/>
        </w:rPr>
        <w:t>o</w:t>
      </w:r>
      <w:r>
        <w:rPr>
          <w:color w:val="808080" w:themeColor="background1" w:themeShade="80"/>
          <w:sz w:val="44"/>
          <w:szCs w:val="44"/>
        </w:rPr>
        <w:t>n</w:t>
      </w:r>
      <w:proofErr w:type="gramEnd"/>
      <w:r w:rsidRPr="002A00C6">
        <w:rPr>
          <w:color w:val="808080" w:themeColor="background1" w:themeShade="80"/>
          <w:sz w:val="44"/>
          <w:szCs w:val="44"/>
        </w:rPr>
        <w:t xml:space="preserve"> the</w:t>
      </w:r>
    </w:p>
    <w:p w:rsidR="002A00C6" w:rsidRPr="00606D53" w:rsidRDefault="00FA7C98" w:rsidP="00606D53">
      <w:pPr>
        <w:spacing w:before="600" w:line="240" w:lineRule="auto"/>
        <w:rPr>
          <w:color w:val="808080" w:themeColor="background1" w:themeShade="80"/>
          <w:sz w:val="72"/>
          <w:szCs w:val="72"/>
        </w:rPr>
      </w:pPr>
      <w:r>
        <w:rPr>
          <w:color w:val="808080" w:themeColor="background1" w:themeShade="80"/>
          <w:sz w:val="72"/>
          <w:szCs w:val="72"/>
        </w:rPr>
        <w:t>NZX Listing Rule Review – Discussion Paper</w:t>
      </w:r>
    </w:p>
    <w:p w:rsidR="00606D53" w:rsidRPr="002A00C6" w:rsidRDefault="00FA7C98" w:rsidP="00606D53">
      <w:pPr>
        <w:spacing w:before="600" w:line="240" w:lineRule="auto"/>
        <w:rPr>
          <w:color w:val="808080" w:themeColor="background1" w:themeShade="80"/>
          <w:sz w:val="44"/>
          <w:szCs w:val="44"/>
        </w:rPr>
      </w:pPr>
      <w:r>
        <w:rPr>
          <w:color w:val="808080" w:themeColor="background1" w:themeShade="80"/>
          <w:sz w:val="44"/>
          <w:szCs w:val="44"/>
        </w:rPr>
        <w:t>17 November 2017</w:t>
      </w:r>
    </w:p>
    <w:p w:rsidR="008B2538" w:rsidRDefault="008B2538">
      <w:pPr>
        <w:spacing w:line="240" w:lineRule="auto"/>
        <w:rPr>
          <w:sz w:val="22"/>
          <w:szCs w:val="22"/>
        </w:rPr>
      </w:pPr>
      <w:r>
        <w:rPr>
          <w:sz w:val="22"/>
          <w:szCs w:val="22"/>
        </w:rPr>
        <w:br w:type="page"/>
      </w:r>
    </w:p>
    <w:p w:rsidR="00606D53" w:rsidRPr="006D474E" w:rsidRDefault="006D474E" w:rsidP="006D474E">
      <w:pPr>
        <w:pStyle w:val="Style1"/>
      </w:pPr>
      <w:r w:rsidRPr="006D474E">
        <w:lastRenderedPageBreak/>
        <w:t>About NZBA</w:t>
      </w:r>
    </w:p>
    <w:p w:rsidR="00DC1BB9" w:rsidRDefault="00834AFE" w:rsidP="006D474E">
      <w:pPr>
        <w:pStyle w:val="Style2"/>
      </w:pPr>
      <w:r w:rsidRPr="00606D53">
        <w:t>NZBA works on behalf of the New Zealand banking industry in conjunction with its member banks.  NZBA develops and promotes policy outcomes that contribute to a strong and stable banking system that bene</w:t>
      </w:r>
      <w:r w:rsidR="00832AC6">
        <w:t xml:space="preserve">fits New Zealanders and the New </w:t>
      </w:r>
      <w:r w:rsidRPr="00606D53">
        <w:t>Zealand economy.</w:t>
      </w:r>
    </w:p>
    <w:p w:rsidR="008E44EA" w:rsidRDefault="008E44EA" w:rsidP="006D474E">
      <w:pPr>
        <w:pStyle w:val="Style2"/>
      </w:pPr>
      <w:r>
        <w:t xml:space="preserve">The following </w:t>
      </w:r>
      <w:r w:rsidR="00A91DB8">
        <w:t>seventeen</w:t>
      </w:r>
      <w:r>
        <w:t xml:space="preserve"> registered banks in New Zealand are members of NZBA:</w:t>
      </w:r>
    </w:p>
    <w:p w:rsidR="008E44EA" w:rsidRPr="00A227BE" w:rsidRDefault="008E44EA" w:rsidP="00832AC6">
      <w:pPr>
        <w:pStyle w:val="Style4"/>
      </w:pPr>
      <w:r w:rsidRPr="00A227BE">
        <w:t>ANZ Bank New Zealand Limited</w:t>
      </w:r>
    </w:p>
    <w:p w:rsidR="008E44EA" w:rsidRPr="00A227BE" w:rsidRDefault="008E44EA" w:rsidP="00832AC6">
      <w:pPr>
        <w:pStyle w:val="Style4"/>
      </w:pPr>
      <w:r w:rsidRPr="00A227BE">
        <w:t>ASB Bank Limited</w:t>
      </w:r>
    </w:p>
    <w:p w:rsidR="008E44EA" w:rsidRPr="00A227BE" w:rsidRDefault="008E44EA" w:rsidP="00832AC6">
      <w:pPr>
        <w:pStyle w:val="Style4"/>
      </w:pPr>
      <w:r w:rsidRPr="00A227BE">
        <w:t>Bank of China (NZ) Limited</w:t>
      </w:r>
    </w:p>
    <w:p w:rsidR="008E44EA" w:rsidRPr="00A227BE" w:rsidRDefault="008E44EA" w:rsidP="00832AC6">
      <w:pPr>
        <w:pStyle w:val="Style4"/>
      </w:pPr>
      <w:r w:rsidRPr="00A227BE">
        <w:t>Bank of New Zealand</w:t>
      </w:r>
    </w:p>
    <w:p w:rsidR="008E44EA" w:rsidRPr="00A227BE" w:rsidRDefault="00A227BE" w:rsidP="00832AC6">
      <w:pPr>
        <w:pStyle w:val="Style4"/>
      </w:pPr>
      <w:r w:rsidRPr="00A227BE">
        <w:t>Bank of Tokyo-Mitsubishi, UFJ</w:t>
      </w:r>
    </w:p>
    <w:p w:rsidR="00A91DB8" w:rsidRDefault="00A91DB8" w:rsidP="00832AC6">
      <w:pPr>
        <w:pStyle w:val="Style4"/>
      </w:pPr>
      <w:r>
        <w:t>China Construction Bank</w:t>
      </w:r>
    </w:p>
    <w:p w:rsidR="00A227BE" w:rsidRPr="00A227BE" w:rsidRDefault="00A227BE" w:rsidP="00832AC6">
      <w:pPr>
        <w:pStyle w:val="Style4"/>
      </w:pPr>
      <w:r w:rsidRPr="00A227BE">
        <w:t>Citibank, N.A.</w:t>
      </w:r>
    </w:p>
    <w:p w:rsidR="00A227BE" w:rsidRDefault="00A227BE" w:rsidP="00832AC6">
      <w:pPr>
        <w:pStyle w:val="Style4"/>
      </w:pPr>
      <w:r w:rsidRPr="00A227BE">
        <w:t>The Co-operative Bank Limited</w:t>
      </w:r>
    </w:p>
    <w:p w:rsidR="00A227BE" w:rsidRDefault="007337C6" w:rsidP="00832AC6">
      <w:pPr>
        <w:pStyle w:val="Style4"/>
      </w:pPr>
      <w:r w:rsidRPr="007337C6">
        <w:t>Heartland Bank Limited</w:t>
      </w:r>
    </w:p>
    <w:p w:rsidR="007337C6" w:rsidRDefault="007337C6" w:rsidP="00832AC6">
      <w:pPr>
        <w:pStyle w:val="Style4"/>
      </w:pPr>
      <w:r w:rsidRPr="007337C6">
        <w:t xml:space="preserve">The </w:t>
      </w:r>
      <w:proofErr w:type="spellStart"/>
      <w:r w:rsidRPr="007337C6">
        <w:t>Hongkong</w:t>
      </w:r>
      <w:proofErr w:type="spellEnd"/>
      <w:r w:rsidRPr="007337C6">
        <w:t xml:space="preserve"> and Shanghai Banking Corporation Limited</w:t>
      </w:r>
    </w:p>
    <w:p w:rsidR="007337C6" w:rsidRDefault="007337C6" w:rsidP="00832AC6">
      <w:pPr>
        <w:pStyle w:val="Style4"/>
      </w:pPr>
      <w:r w:rsidRPr="007337C6">
        <w:t>Industrial and Commercial Bank of China (New Zealand) Limited</w:t>
      </w:r>
    </w:p>
    <w:p w:rsidR="007337C6" w:rsidRDefault="007337C6" w:rsidP="00832AC6">
      <w:pPr>
        <w:pStyle w:val="Style4"/>
      </w:pPr>
      <w:r w:rsidRPr="007337C6">
        <w:t>JPMorgan Chase Bank, N.A.</w:t>
      </w:r>
    </w:p>
    <w:p w:rsidR="007337C6" w:rsidRDefault="007337C6" w:rsidP="00832AC6">
      <w:pPr>
        <w:pStyle w:val="Style4"/>
      </w:pPr>
      <w:r w:rsidRPr="007337C6">
        <w:t>Kiwibank Limited</w:t>
      </w:r>
    </w:p>
    <w:p w:rsidR="007337C6" w:rsidRDefault="007337C6" w:rsidP="00832AC6">
      <w:pPr>
        <w:pStyle w:val="Style4"/>
      </w:pPr>
      <w:r w:rsidRPr="007337C6">
        <w:t>Rabobank New Zealand Limited</w:t>
      </w:r>
    </w:p>
    <w:p w:rsidR="007337C6" w:rsidRDefault="007337C6" w:rsidP="00832AC6">
      <w:pPr>
        <w:pStyle w:val="Style4"/>
      </w:pPr>
      <w:r w:rsidRPr="007337C6">
        <w:t>SBS Bank</w:t>
      </w:r>
    </w:p>
    <w:p w:rsidR="007337C6" w:rsidRDefault="007337C6" w:rsidP="00832AC6">
      <w:pPr>
        <w:pStyle w:val="Style4"/>
      </w:pPr>
      <w:r w:rsidRPr="007337C6">
        <w:t>TSB Bank Limited</w:t>
      </w:r>
    </w:p>
    <w:p w:rsidR="007337C6" w:rsidRPr="00A227BE" w:rsidRDefault="007337C6" w:rsidP="00832AC6">
      <w:pPr>
        <w:pStyle w:val="Style4"/>
      </w:pPr>
      <w:r w:rsidRPr="007337C6">
        <w:t>Westpac New Zealand Limited</w:t>
      </w:r>
    </w:p>
    <w:p w:rsidR="008E44EA" w:rsidRDefault="00832AC6" w:rsidP="00832AC6">
      <w:pPr>
        <w:pStyle w:val="Style1"/>
      </w:pPr>
      <w:r>
        <w:t>Background</w:t>
      </w:r>
    </w:p>
    <w:p w:rsidR="00832AC6" w:rsidRDefault="009C074E" w:rsidP="00A227BE">
      <w:pPr>
        <w:pStyle w:val="Style2"/>
      </w:pPr>
      <w:r w:rsidRPr="00832AC6">
        <w:t xml:space="preserve">NZBA welcomes the opportunity to provide feedback to </w:t>
      </w:r>
      <w:r w:rsidR="00FA7C98">
        <w:t>NZX</w:t>
      </w:r>
      <w:r w:rsidRPr="00832AC6">
        <w:t xml:space="preserve"> on </w:t>
      </w:r>
      <w:r w:rsidR="00FA7C98">
        <w:t>the NZX Listing Rule Review – Discussion Paper (</w:t>
      </w:r>
      <w:r w:rsidR="00FC647D">
        <w:rPr>
          <w:b/>
        </w:rPr>
        <w:t>Review</w:t>
      </w:r>
      <w:r w:rsidR="00FA7C98">
        <w:t>)</w:t>
      </w:r>
      <w:r w:rsidR="001B2323">
        <w:t xml:space="preserve"> </w:t>
      </w:r>
      <w:r w:rsidRPr="00832AC6">
        <w:t xml:space="preserve">and commends the work that has gone into developing </w:t>
      </w:r>
      <w:r w:rsidR="00FA7C98">
        <w:t xml:space="preserve">the </w:t>
      </w:r>
      <w:r w:rsidR="00FC647D">
        <w:t>Review</w:t>
      </w:r>
      <w:r w:rsidRPr="00832AC6">
        <w:t>.</w:t>
      </w:r>
    </w:p>
    <w:p w:rsidR="00832AC6" w:rsidRDefault="009C074E" w:rsidP="00A227BE">
      <w:pPr>
        <w:pStyle w:val="Style2"/>
      </w:pPr>
      <w:r w:rsidRPr="00E70424">
        <w:t>If you would like to discuss any aspect of the submission further, please contact:</w:t>
      </w:r>
    </w:p>
    <w:p w:rsidR="0062751D" w:rsidRPr="00C03601" w:rsidRDefault="0062751D" w:rsidP="00CF25CE">
      <w:pPr>
        <w:pStyle w:val="4normalParagraph"/>
        <w:numPr>
          <w:ilvl w:val="0"/>
          <w:numId w:val="0"/>
        </w:numPr>
        <w:ind w:left="2553"/>
        <w:rPr>
          <w:sz w:val="22"/>
          <w:szCs w:val="22"/>
        </w:rPr>
      </w:pPr>
      <w:r w:rsidRPr="00C03601">
        <w:rPr>
          <w:sz w:val="22"/>
          <w:szCs w:val="22"/>
        </w:rPr>
        <w:t>Antony Buick-Constable</w:t>
      </w:r>
    </w:p>
    <w:p w:rsidR="0062751D" w:rsidRPr="00C03601" w:rsidRDefault="0062751D" w:rsidP="00CF25CE">
      <w:pPr>
        <w:pStyle w:val="4normalParagraph"/>
        <w:numPr>
          <w:ilvl w:val="0"/>
          <w:numId w:val="0"/>
        </w:numPr>
        <w:ind w:left="2553"/>
        <w:rPr>
          <w:sz w:val="22"/>
          <w:szCs w:val="22"/>
        </w:rPr>
      </w:pPr>
      <w:r w:rsidRPr="00C03601">
        <w:rPr>
          <w:sz w:val="22"/>
          <w:szCs w:val="22"/>
        </w:rPr>
        <w:t xml:space="preserve">Policy Director &amp; Legal Counsel </w:t>
      </w:r>
    </w:p>
    <w:p w:rsidR="0062751D" w:rsidRPr="00C03601" w:rsidRDefault="0062751D" w:rsidP="00CF25CE">
      <w:pPr>
        <w:pStyle w:val="4normalParagraph"/>
        <w:numPr>
          <w:ilvl w:val="0"/>
          <w:numId w:val="0"/>
        </w:numPr>
        <w:ind w:left="2553"/>
        <w:rPr>
          <w:sz w:val="22"/>
          <w:szCs w:val="22"/>
        </w:rPr>
      </w:pPr>
      <w:r w:rsidRPr="00C03601">
        <w:rPr>
          <w:sz w:val="22"/>
          <w:szCs w:val="22"/>
        </w:rPr>
        <w:t>04 802 3351 / 021 255 4043</w:t>
      </w:r>
    </w:p>
    <w:p w:rsidR="0062751D" w:rsidRPr="0062751D" w:rsidRDefault="00774C8D" w:rsidP="00CF25CE">
      <w:pPr>
        <w:pStyle w:val="4normalParagraph"/>
        <w:numPr>
          <w:ilvl w:val="0"/>
          <w:numId w:val="0"/>
        </w:numPr>
        <w:ind w:left="2553"/>
        <w:rPr>
          <w:color w:val="013799"/>
          <w:sz w:val="22"/>
          <w:szCs w:val="22"/>
        </w:rPr>
      </w:pPr>
      <w:hyperlink r:id="rId8" w:history="1">
        <w:r w:rsidR="0062751D" w:rsidRPr="0062751D">
          <w:rPr>
            <w:rStyle w:val="Hyperlink"/>
            <w:rFonts w:ascii="Arial" w:eastAsiaTheme="minorHAnsi" w:hAnsi="Arial" w:cs="Arial"/>
            <w:sz w:val="22"/>
            <w:szCs w:val="22"/>
          </w:rPr>
          <w:t>antony.buick-constable@nzba.org.nz</w:t>
        </w:r>
      </w:hyperlink>
    </w:p>
    <w:p w:rsidR="00E70424" w:rsidRDefault="0062751D" w:rsidP="0062751D">
      <w:pPr>
        <w:pStyle w:val="Style1"/>
      </w:pPr>
      <w:r>
        <w:t>Introduction</w:t>
      </w:r>
    </w:p>
    <w:p w:rsidR="00A227BE" w:rsidRDefault="00FC647D" w:rsidP="0062751D">
      <w:pPr>
        <w:pStyle w:val="Style2"/>
      </w:pPr>
      <w:r>
        <w:t>In summary, NZBA considers that the Review provides an opportunity to simplify and improve the Listing Rules and generally supports the changes proposed in the Review.</w:t>
      </w:r>
    </w:p>
    <w:p w:rsidR="00FC647D" w:rsidRDefault="005B40E6" w:rsidP="0062751D">
      <w:pPr>
        <w:pStyle w:val="Style2"/>
      </w:pPr>
      <w:r>
        <w:lastRenderedPageBreak/>
        <w:t xml:space="preserve">In this submission, capitalised </w:t>
      </w:r>
      <w:proofErr w:type="gramStart"/>
      <w:r>
        <w:t>terms which are not otherwise defined</w:t>
      </w:r>
      <w:proofErr w:type="gramEnd"/>
      <w:r>
        <w:t xml:space="preserve"> have the same meaning as in the Listing Rules.</w:t>
      </w:r>
    </w:p>
    <w:p w:rsidR="00135589" w:rsidRDefault="00135589" w:rsidP="00135589">
      <w:pPr>
        <w:pStyle w:val="Style1"/>
      </w:pPr>
      <w:r>
        <w:t>Question 13</w:t>
      </w:r>
    </w:p>
    <w:p w:rsidR="00135589" w:rsidRDefault="00135589" w:rsidP="00FC647D">
      <w:pPr>
        <w:pStyle w:val="Style2"/>
      </w:pPr>
      <w:r>
        <w:t xml:space="preserve">NZBA considers that </w:t>
      </w:r>
      <w:r w:rsidRPr="00FC647D">
        <w:t>NZX should play a part in promoting and facilitating the issuing of green bonds in New Zealand</w:t>
      </w:r>
      <w:r w:rsidR="00CA06D1">
        <w:t>,</w:t>
      </w:r>
      <w:r w:rsidR="00750B34">
        <w:t xml:space="preserve"> rather than</w:t>
      </w:r>
      <w:r w:rsidR="00CA06D1">
        <w:t xml:space="preserve"> playing</w:t>
      </w:r>
      <w:r w:rsidR="00750B34">
        <w:t xml:space="preserve"> an enforcement role regarding green bond principles or standards</w:t>
      </w:r>
      <w:r w:rsidRPr="00FC647D">
        <w:t>.</w:t>
      </w:r>
      <w:r>
        <w:t xml:space="preserve"> </w:t>
      </w:r>
      <w:r w:rsidRPr="00FC647D">
        <w:t xml:space="preserve"> Environmental and social </w:t>
      </w:r>
      <w:r>
        <w:t>investment</w:t>
      </w:r>
      <w:r w:rsidRPr="00FC647D">
        <w:t xml:space="preserve"> is very topical and we support the NZX releasing guidance on ESG reporting.</w:t>
      </w:r>
    </w:p>
    <w:p w:rsidR="00FC647D" w:rsidRDefault="00FC647D" w:rsidP="00FC647D">
      <w:pPr>
        <w:pStyle w:val="Style1"/>
      </w:pPr>
      <w:r>
        <w:t>Q</w:t>
      </w:r>
      <w:r w:rsidR="00135589">
        <w:t>uestion 32</w:t>
      </w:r>
    </w:p>
    <w:p w:rsidR="00135589" w:rsidRDefault="00135589" w:rsidP="00135589">
      <w:pPr>
        <w:pStyle w:val="Style2"/>
      </w:pPr>
      <w:bookmarkStart w:id="0" w:name="_Ref498003427"/>
      <w:r>
        <w:t>NZBA</w:t>
      </w:r>
      <w:r w:rsidRPr="00135589">
        <w:t xml:space="preserve"> support</w:t>
      </w:r>
      <w:r>
        <w:t>s</w:t>
      </w:r>
      <w:r w:rsidRPr="00135589">
        <w:t xml:space="preserve"> an amendment to the </w:t>
      </w:r>
      <w:r>
        <w:t>Listing R</w:t>
      </w:r>
      <w:r w:rsidRPr="00135589">
        <w:t>ules to remove the need for the standard waiver that registered banks are able to provide their quarterly (semi-annual going forward) disclosure statements instead of complying with NZX Listing Rules 10.3 and 10.4.</w:t>
      </w:r>
      <w:bookmarkEnd w:id="0"/>
      <w:r w:rsidR="00CA06D1">
        <w:t xml:space="preserve">  That is because, in our view, the requirement to disclose the relevant waivers in offer documents creates an unnecessary compliance burden.</w:t>
      </w:r>
    </w:p>
    <w:p w:rsidR="003E11ED" w:rsidRDefault="003E11ED" w:rsidP="007D4378">
      <w:pPr>
        <w:pStyle w:val="Style2"/>
        <w:numPr>
          <w:ilvl w:val="0"/>
          <w:numId w:val="0"/>
        </w:numPr>
        <w:rPr>
          <w:b/>
          <w:color w:val="808080" w:themeColor="background1" w:themeShade="80"/>
          <w:kern w:val="0"/>
          <w:sz w:val="28"/>
          <w:szCs w:val="28"/>
        </w:rPr>
      </w:pPr>
      <w:r>
        <w:rPr>
          <w:b/>
          <w:color w:val="808080" w:themeColor="background1" w:themeShade="80"/>
          <w:kern w:val="0"/>
          <w:sz w:val="28"/>
          <w:szCs w:val="28"/>
        </w:rPr>
        <w:t>Question 53</w:t>
      </w:r>
    </w:p>
    <w:p w:rsidR="00CE07AE" w:rsidRDefault="00CE07AE" w:rsidP="003E11ED">
      <w:pPr>
        <w:pStyle w:val="Heading1"/>
        <w:rPr>
          <w:sz w:val="22"/>
          <w:szCs w:val="22"/>
        </w:rPr>
      </w:pPr>
      <w:r>
        <w:rPr>
          <w:sz w:val="22"/>
          <w:szCs w:val="22"/>
        </w:rPr>
        <w:t>NZBA</w:t>
      </w:r>
      <w:r w:rsidRPr="003E11ED">
        <w:rPr>
          <w:sz w:val="22"/>
          <w:szCs w:val="22"/>
        </w:rPr>
        <w:t xml:space="preserve"> agrees that spread and free float requirements </w:t>
      </w:r>
      <w:proofErr w:type="gramStart"/>
      <w:r w:rsidRPr="003E11ED">
        <w:rPr>
          <w:sz w:val="22"/>
          <w:szCs w:val="22"/>
        </w:rPr>
        <w:t>should be removed</w:t>
      </w:r>
      <w:proofErr w:type="gramEnd"/>
      <w:r>
        <w:rPr>
          <w:sz w:val="22"/>
          <w:szCs w:val="22"/>
        </w:rPr>
        <w:t>.</w:t>
      </w:r>
    </w:p>
    <w:p w:rsidR="00CA06D1" w:rsidRDefault="00CA06D1" w:rsidP="00CA06D1">
      <w:pPr>
        <w:pStyle w:val="Heading1"/>
        <w:rPr>
          <w:sz w:val="22"/>
          <w:szCs w:val="22"/>
        </w:rPr>
      </w:pPr>
      <w:r w:rsidRPr="00CA06D1">
        <w:rPr>
          <w:sz w:val="22"/>
          <w:szCs w:val="22"/>
        </w:rPr>
        <w:t xml:space="preserve">While NZBA recognises the importance of liquidity to enable retail investors to exit their positions as needed, the spread requirements are not necessary to achieve this. </w:t>
      </w:r>
    </w:p>
    <w:p w:rsidR="00CA06D1" w:rsidRPr="00CA06D1" w:rsidRDefault="00CA06D1" w:rsidP="00CA06D1">
      <w:pPr>
        <w:pStyle w:val="Heading1"/>
        <w:rPr>
          <w:sz w:val="22"/>
          <w:szCs w:val="22"/>
        </w:rPr>
      </w:pPr>
      <w:r w:rsidRPr="00CA06D1">
        <w:rPr>
          <w:sz w:val="22"/>
          <w:szCs w:val="22"/>
        </w:rPr>
        <w:t xml:space="preserve">Developments in the debt market over recent years have led to Debt Securities </w:t>
      </w:r>
      <w:proofErr w:type="gramStart"/>
      <w:r w:rsidRPr="00CA06D1">
        <w:rPr>
          <w:sz w:val="22"/>
          <w:szCs w:val="22"/>
        </w:rPr>
        <w:t>being held</w:t>
      </w:r>
      <w:proofErr w:type="gramEnd"/>
      <w:r w:rsidRPr="00CA06D1">
        <w:rPr>
          <w:sz w:val="22"/>
          <w:szCs w:val="22"/>
        </w:rPr>
        <w:t xml:space="preserve"> by fewer registered holders (even though the number of beneficial owners may still be large). </w:t>
      </w:r>
      <w:r>
        <w:rPr>
          <w:sz w:val="22"/>
          <w:szCs w:val="22"/>
        </w:rPr>
        <w:t xml:space="preserve"> </w:t>
      </w:r>
      <w:r w:rsidRPr="00CA06D1">
        <w:rPr>
          <w:sz w:val="22"/>
          <w:szCs w:val="22"/>
        </w:rPr>
        <w:t>Sufficient liquidity can exist in a secondary market for Debt Securities with a smaller number of security holders.</w:t>
      </w:r>
    </w:p>
    <w:p w:rsidR="00CA06D1" w:rsidRPr="00CA06D1" w:rsidRDefault="00CA06D1" w:rsidP="00CA06D1">
      <w:pPr>
        <w:pStyle w:val="Heading1"/>
        <w:rPr>
          <w:sz w:val="22"/>
          <w:szCs w:val="22"/>
        </w:rPr>
      </w:pPr>
      <w:r w:rsidRPr="00CA06D1">
        <w:rPr>
          <w:sz w:val="22"/>
          <w:szCs w:val="22"/>
        </w:rPr>
        <w:t>Further, Issuers do not have control over trading of their bonds in the secondary market, the number of holders of bonds</w:t>
      </w:r>
      <w:r>
        <w:rPr>
          <w:sz w:val="22"/>
          <w:szCs w:val="22"/>
        </w:rPr>
        <w:t>,</w:t>
      </w:r>
      <w:r w:rsidRPr="00CA06D1">
        <w:rPr>
          <w:sz w:val="22"/>
          <w:szCs w:val="22"/>
        </w:rPr>
        <w:t xml:space="preserve"> or the manner in which bonds </w:t>
      </w:r>
      <w:proofErr w:type="gramStart"/>
      <w:r w:rsidRPr="00CA06D1">
        <w:rPr>
          <w:sz w:val="22"/>
          <w:szCs w:val="22"/>
        </w:rPr>
        <w:t>are held</w:t>
      </w:r>
      <w:proofErr w:type="gramEnd"/>
      <w:r w:rsidRPr="00CA06D1">
        <w:rPr>
          <w:sz w:val="22"/>
          <w:szCs w:val="22"/>
        </w:rPr>
        <w:t xml:space="preserve">. </w:t>
      </w:r>
      <w:r>
        <w:rPr>
          <w:sz w:val="22"/>
          <w:szCs w:val="22"/>
        </w:rPr>
        <w:t xml:space="preserve"> </w:t>
      </w:r>
      <w:r w:rsidRPr="00CA06D1">
        <w:rPr>
          <w:sz w:val="22"/>
          <w:szCs w:val="22"/>
        </w:rPr>
        <w:t>A number of Issuers also provide liquidity to the debt market through market-making activities.</w:t>
      </w:r>
    </w:p>
    <w:p w:rsidR="00CA06D1" w:rsidRPr="00CA06D1" w:rsidRDefault="00CA06D1" w:rsidP="00CA06D1">
      <w:pPr>
        <w:pStyle w:val="Heading1"/>
        <w:rPr>
          <w:sz w:val="22"/>
          <w:szCs w:val="22"/>
        </w:rPr>
      </w:pPr>
      <w:r w:rsidRPr="00CA06D1">
        <w:rPr>
          <w:sz w:val="22"/>
          <w:szCs w:val="22"/>
        </w:rPr>
        <w:t xml:space="preserve">Therefore, the spread requirement imposes an unnecessary compliance burden, both in terms of resources </w:t>
      </w:r>
      <w:r>
        <w:rPr>
          <w:sz w:val="22"/>
          <w:szCs w:val="22"/>
        </w:rPr>
        <w:t>to determine</w:t>
      </w:r>
      <w:r w:rsidRPr="00CA06D1">
        <w:rPr>
          <w:sz w:val="22"/>
          <w:szCs w:val="22"/>
        </w:rPr>
        <w:t xml:space="preserve"> whether the spread requirements </w:t>
      </w:r>
      <w:proofErr w:type="gramStart"/>
      <w:r w:rsidRPr="00CA06D1">
        <w:rPr>
          <w:sz w:val="22"/>
          <w:szCs w:val="22"/>
        </w:rPr>
        <w:t>have been met</w:t>
      </w:r>
      <w:proofErr w:type="gramEnd"/>
      <w:r w:rsidRPr="00CA06D1">
        <w:rPr>
          <w:sz w:val="22"/>
          <w:szCs w:val="22"/>
        </w:rPr>
        <w:t xml:space="preserve"> (where it is often difficult to obtain information on holdings from brokers and custodians) and in the cost and delays in obtaining waivers.</w:t>
      </w:r>
    </w:p>
    <w:p w:rsidR="00750B34" w:rsidRPr="00141266" w:rsidRDefault="00750B34" w:rsidP="00750B34">
      <w:pPr>
        <w:pStyle w:val="Heading1"/>
        <w:rPr>
          <w:rFonts w:ascii="Calibri" w:hAnsi="Calibri" w:cs="Calibri"/>
          <w:sz w:val="22"/>
          <w:szCs w:val="22"/>
        </w:rPr>
      </w:pPr>
      <w:r>
        <w:rPr>
          <w:sz w:val="22"/>
          <w:szCs w:val="22"/>
        </w:rPr>
        <w:t>NZBA</w:t>
      </w:r>
      <w:r w:rsidRPr="00141266">
        <w:rPr>
          <w:sz w:val="22"/>
          <w:szCs w:val="22"/>
        </w:rPr>
        <w:t xml:space="preserve"> is of the</w:t>
      </w:r>
      <w:r>
        <w:rPr>
          <w:sz w:val="22"/>
          <w:szCs w:val="22"/>
        </w:rPr>
        <w:t xml:space="preserve"> view that the majority of new I</w:t>
      </w:r>
      <w:r w:rsidRPr="00141266">
        <w:rPr>
          <w:sz w:val="22"/>
          <w:szCs w:val="22"/>
        </w:rPr>
        <w:t>ssue</w:t>
      </w:r>
      <w:r>
        <w:rPr>
          <w:sz w:val="22"/>
          <w:szCs w:val="22"/>
        </w:rPr>
        <w:t>rs seek a waiver around this</w:t>
      </w:r>
      <w:r w:rsidRPr="00141266">
        <w:rPr>
          <w:sz w:val="22"/>
          <w:szCs w:val="22"/>
        </w:rPr>
        <w:t xml:space="preserve"> due to the uncertainties inherent in a new issue process a</w:t>
      </w:r>
      <w:r>
        <w:rPr>
          <w:sz w:val="22"/>
          <w:szCs w:val="22"/>
        </w:rPr>
        <w:t xml:space="preserve">nd the number of holders that an Issuer </w:t>
      </w:r>
      <w:r w:rsidRPr="00141266">
        <w:rPr>
          <w:sz w:val="22"/>
          <w:szCs w:val="22"/>
        </w:rPr>
        <w:t xml:space="preserve">will have on the day after the issue. </w:t>
      </w:r>
      <w:r>
        <w:rPr>
          <w:sz w:val="22"/>
          <w:szCs w:val="22"/>
        </w:rPr>
        <w:t xml:space="preserve"> NZBA’s</w:t>
      </w:r>
      <w:r w:rsidRPr="00141266">
        <w:rPr>
          <w:sz w:val="22"/>
          <w:szCs w:val="22"/>
        </w:rPr>
        <w:t xml:space="preserve"> </w:t>
      </w:r>
      <w:r>
        <w:rPr>
          <w:sz w:val="22"/>
          <w:szCs w:val="22"/>
        </w:rPr>
        <w:t xml:space="preserve">members are </w:t>
      </w:r>
      <w:r w:rsidRPr="00141266">
        <w:rPr>
          <w:sz w:val="22"/>
          <w:szCs w:val="22"/>
        </w:rPr>
        <w:t xml:space="preserve">confident that bonds would be very widely held on retail </w:t>
      </w:r>
      <w:r>
        <w:rPr>
          <w:sz w:val="22"/>
          <w:szCs w:val="22"/>
        </w:rPr>
        <w:t xml:space="preserve">bond </w:t>
      </w:r>
      <w:r w:rsidRPr="00141266">
        <w:rPr>
          <w:sz w:val="22"/>
          <w:szCs w:val="22"/>
        </w:rPr>
        <w:t>issue</w:t>
      </w:r>
      <w:r>
        <w:rPr>
          <w:sz w:val="22"/>
          <w:szCs w:val="22"/>
        </w:rPr>
        <w:t>s</w:t>
      </w:r>
      <w:r w:rsidRPr="00141266">
        <w:rPr>
          <w:sz w:val="22"/>
          <w:szCs w:val="22"/>
        </w:rPr>
        <w:t>.</w:t>
      </w:r>
    </w:p>
    <w:p w:rsidR="003E11ED" w:rsidRPr="00141266" w:rsidRDefault="00141266" w:rsidP="003E11ED">
      <w:pPr>
        <w:pStyle w:val="Heading1"/>
        <w:rPr>
          <w:rFonts w:ascii="Calibri" w:hAnsi="Calibri" w:cs="Calibri"/>
          <w:sz w:val="22"/>
          <w:szCs w:val="22"/>
        </w:rPr>
      </w:pPr>
      <w:r>
        <w:rPr>
          <w:sz w:val="22"/>
          <w:szCs w:val="22"/>
        </w:rPr>
        <w:t>NZBA also</w:t>
      </w:r>
      <w:r w:rsidR="003E11ED" w:rsidRPr="003E11ED">
        <w:rPr>
          <w:sz w:val="22"/>
          <w:szCs w:val="22"/>
        </w:rPr>
        <w:t xml:space="preserve"> suggests that consideration be given to the impact of removing the </w:t>
      </w:r>
      <w:proofErr w:type="gramStart"/>
      <w:r w:rsidR="003E11ED" w:rsidRPr="003E11ED">
        <w:rPr>
          <w:sz w:val="22"/>
          <w:szCs w:val="22"/>
        </w:rPr>
        <w:t>100 holder</w:t>
      </w:r>
      <w:proofErr w:type="gramEnd"/>
      <w:r w:rsidR="003E11ED" w:rsidRPr="003E11ED">
        <w:rPr>
          <w:sz w:val="22"/>
          <w:szCs w:val="22"/>
        </w:rPr>
        <w:t xml:space="preserve"> requirement on the IRD test for Approved Issuer Levy</w:t>
      </w:r>
      <w:r w:rsidR="00A135BC">
        <w:rPr>
          <w:sz w:val="22"/>
          <w:szCs w:val="22"/>
        </w:rPr>
        <w:t xml:space="preserve"> (</w:t>
      </w:r>
      <w:r w:rsidR="00A135BC">
        <w:rPr>
          <w:b/>
          <w:sz w:val="22"/>
          <w:szCs w:val="22"/>
        </w:rPr>
        <w:t>AIL</w:t>
      </w:r>
      <w:r w:rsidR="00A135BC">
        <w:rPr>
          <w:sz w:val="22"/>
          <w:szCs w:val="22"/>
        </w:rPr>
        <w:t>)</w:t>
      </w:r>
      <w:r w:rsidR="003E11ED" w:rsidRPr="003E11ED">
        <w:rPr>
          <w:sz w:val="22"/>
          <w:szCs w:val="22"/>
        </w:rPr>
        <w:t xml:space="preserve"> zero rating. </w:t>
      </w:r>
      <w:r>
        <w:rPr>
          <w:sz w:val="22"/>
          <w:szCs w:val="22"/>
        </w:rPr>
        <w:t xml:space="preserve"> NZBA</w:t>
      </w:r>
      <w:r w:rsidR="003E11ED" w:rsidRPr="003E11ED">
        <w:rPr>
          <w:sz w:val="22"/>
          <w:szCs w:val="22"/>
        </w:rPr>
        <w:t xml:space="preserve"> notes that </w:t>
      </w:r>
      <w:r>
        <w:rPr>
          <w:sz w:val="22"/>
          <w:szCs w:val="22"/>
        </w:rPr>
        <w:t>an</w:t>
      </w:r>
      <w:r w:rsidR="003E11ED" w:rsidRPr="003E11ED">
        <w:rPr>
          <w:sz w:val="22"/>
          <w:szCs w:val="22"/>
        </w:rPr>
        <w:t xml:space="preserve"> evidence based approach may provide the necessary support for the AIL zero rating to continue to apply to listed issues.</w:t>
      </w:r>
    </w:p>
    <w:p w:rsidR="00141266" w:rsidRPr="00141266" w:rsidRDefault="00141266" w:rsidP="00141266">
      <w:pPr>
        <w:pStyle w:val="Heading1"/>
        <w:numPr>
          <w:ilvl w:val="0"/>
          <w:numId w:val="0"/>
        </w:numPr>
        <w:ind w:left="851" w:hanging="851"/>
        <w:rPr>
          <w:rFonts w:ascii="Calibri" w:hAnsi="Calibri" w:cs="Calibri"/>
          <w:sz w:val="22"/>
          <w:szCs w:val="22"/>
        </w:rPr>
      </w:pPr>
      <w:r>
        <w:rPr>
          <w:b/>
          <w:color w:val="808080" w:themeColor="background1" w:themeShade="80"/>
          <w:kern w:val="0"/>
          <w:sz w:val="28"/>
          <w:szCs w:val="28"/>
        </w:rPr>
        <w:t>Question 54</w:t>
      </w:r>
    </w:p>
    <w:p w:rsidR="00DC5CAD" w:rsidRDefault="00141266" w:rsidP="00141266">
      <w:pPr>
        <w:pStyle w:val="Heading1"/>
        <w:rPr>
          <w:sz w:val="22"/>
          <w:szCs w:val="22"/>
        </w:rPr>
      </w:pPr>
      <w:r>
        <w:rPr>
          <w:sz w:val="22"/>
          <w:szCs w:val="22"/>
        </w:rPr>
        <w:lastRenderedPageBreak/>
        <w:t>NZBA considers that</w:t>
      </w:r>
      <w:r w:rsidRPr="00141266">
        <w:rPr>
          <w:sz w:val="22"/>
          <w:szCs w:val="22"/>
        </w:rPr>
        <w:t xml:space="preserve"> listing of hybrid</w:t>
      </w:r>
      <w:r w:rsidR="00DC5CAD">
        <w:rPr>
          <w:sz w:val="22"/>
          <w:szCs w:val="22"/>
        </w:rPr>
        <w:t xml:space="preserve"> and </w:t>
      </w:r>
      <w:r w:rsidRPr="00141266">
        <w:rPr>
          <w:sz w:val="22"/>
          <w:szCs w:val="22"/>
        </w:rPr>
        <w:t>perpetual issues on a price basis can materially harm their liquidity.</w:t>
      </w:r>
      <w:r>
        <w:rPr>
          <w:sz w:val="22"/>
          <w:szCs w:val="22"/>
        </w:rPr>
        <w:t xml:space="preserve"> </w:t>
      </w:r>
      <w:r w:rsidRPr="00141266">
        <w:rPr>
          <w:sz w:val="22"/>
          <w:szCs w:val="22"/>
        </w:rPr>
        <w:t xml:space="preserve"> </w:t>
      </w:r>
      <w:r>
        <w:rPr>
          <w:sz w:val="22"/>
          <w:szCs w:val="22"/>
        </w:rPr>
        <w:t>NZBA therefore</w:t>
      </w:r>
      <w:r w:rsidR="00CA06D1">
        <w:rPr>
          <w:sz w:val="22"/>
          <w:szCs w:val="22"/>
        </w:rPr>
        <w:t xml:space="preserve"> prefers a yield-</w:t>
      </w:r>
      <w:r w:rsidRPr="00141266">
        <w:rPr>
          <w:sz w:val="22"/>
          <w:szCs w:val="22"/>
        </w:rPr>
        <w:t xml:space="preserve">based approach. </w:t>
      </w:r>
      <w:r>
        <w:rPr>
          <w:sz w:val="22"/>
          <w:szCs w:val="22"/>
        </w:rPr>
        <w:t xml:space="preserve"> </w:t>
      </w:r>
    </w:p>
    <w:p w:rsidR="00141266" w:rsidRDefault="00141266" w:rsidP="00141266">
      <w:pPr>
        <w:pStyle w:val="Heading1"/>
        <w:rPr>
          <w:sz w:val="22"/>
          <w:szCs w:val="22"/>
        </w:rPr>
      </w:pPr>
      <w:r w:rsidRPr="00141266">
        <w:rPr>
          <w:sz w:val="22"/>
          <w:szCs w:val="22"/>
        </w:rPr>
        <w:t>The ch</w:t>
      </w:r>
      <w:r w:rsidR="00CA06D1">
        <w:rPr>
          <w:sz w:val="22"/>
          <w:szCs w:val="22"/>
        </w:rPr>
        <w:t>allenge in implementing a yield-</w:t>
      </w:r>
      <w:r w:rsidRPr="00141266">
        <w:rPr>
          <w:sz w:val="22"/>
          <w:szCs w:val="22"/>
        </w:rPr>
        <w:t xml:space="preserve">based approach is making an assumption around the time horizon to which the yield is calculated.  </w:t>
      </w:r>
      <w:r w:rsidR="00DC5CAD">
        <w:rPr>
          <w:sz w:val="22"/>
          <w:szCs w:val="22"/>
        </w:rPr>
        <w:t>However, NZBA</w:t>
      </w:r>
      <w:r w:rsidRPr="00141266">
        <w:rPr>
          <w:sz w:val="22"/>
          <w:szCs w:val="22"/>
        </w:rPr>
        <w:t xml:space="preserve"> is of the view that a cl</w:t>
      </w:r>
      <w:r>
        <w:rPr>
          <w:sz w:val="22"/>
          <w:szCs w:val="22"/>
        </w:rPr>
        <w:t xml:space="preserve">early expressed </w:t>
      </w:r>
      <w:r w:rsidR="00EE3E01">
        <w:rPr>
          <w:sz w:val="22"/>
          <w:szCs w:val="22"/>
        </w:rPr>
        <w:t xml:space="preserve">assumption </w:t>
      </w:r>
      <w:r>
        <w:rPr>
          <w:sz w:val="22"/>
          <w:szCs w:val="22"/>
        </w:rPr>
        <w:t>(</w:t>
      </w:r>
      <w:proofErr w:type="spellStart"/>
      <w:r>
        <w:rPr>
          <w:sz w:val="22"/>
          <w:szCs w:val="22"/>
        </w:rPr>
        <w:t>eg</w:t>
      </w:r>
      <w:proofErr w:type="spellEnd"/>
      <w:r w:rsidRPr="00141266">
        <w:rPr>
          <w:sz w:val="22"/>
          <w:szCs w:val="22"/>
        </w:rPr>
        <w:t xml:space="preserve"> priced to the first potential call date) is a sensible way to deal with this issue. </w:t>
      </w:r>
      <w:r w:rsidR="00DC5CAD">
        <w:rPr>
          <w:sz w:val="22"/>
          <w:szCs w:val="22"/>
        </w:rPr>
        <w:t xml:space="preserve"> </w:t>
      </w:r>
      <w:r w:rsidRPr="00141266">
        <w:rPr>
          <w:sz w:val="22"/>
          <w:szCs w:val="22"/>
        </w:rPr>
        <w:t xml:space="preserve">While an assumption is required, and could potentially cause confusion, this approach is more </w:t>
      </w:r>
      <w:r w:rsidR="00A135BC">
        <w:rPr>
          <w:sz w:val="22"/>
          <w:szCs w:val="22"/>
        </w:rPr>
        <w:t>investor-friendly and relevant</w:t>
      </w:r>
      <w:r w:rsidRPr="00141266">
        <w:rPr>
          <w:sz w:val="22"/>
          <w:szCs w:val="22"/>
        </w:rPr>
        <w:t xml:space="preserve"> than price quotation. </w:t>
      </w:r>
      <w:r>
        <w:rPr>
          <w:sz w:val="22"/>
          <w:szCs w:val="22"/>
        </w:rPr>
        <w:t xml:space="preserve"> </w:t>
      </w:r>
    </w:p>
    <w:p w:rsidR="00CA06D1" w:rsidRPr="00CA06D1" w:rsidRDefault="00CA06D1" w:rsidP="00CA06D1">
      <w:pPr>
        <w:pStyle w:val="Heading1"/>
        <w:rPr>
          <w:sz w:val="22"/>
          <w:szCs w:val="22"/>
        </w:rPr>
      </w:pPr>
      <w:r w:rsidRPr="0091583C">
        <w:rPr>
          <w:sz w:val="22"/>
          <w:szCs w:val="22"/>
        </w:rPr>
        <w:t>Considerati</w:t>
      </w:r>
      <w:r>
        <w:rPr>
          <w:sz w:val="22"/>
          <w:szCs w:val="22"/>
        </w:rPr>
        <w:t xml:space="preserve">on </w:t>
      </w:r>
      <w:proofErr w:type="gramStart"/>
      <w:r>
        <w:rPr>
          <w:sz w:val="22"/>
          <w:szCs w:val="22"/>
        </w:rPr>
        <w:t>could be given</w:t>
      </w:r>
      <w:proofErr w:type="gramEnd"/>
      <w:r>
        <w:rPr>
          <w:sz w:val="22"/>
          <w:szCs w:val="22"/>
        </w:rPr>
        <w:t xml:space="preserve"> to incentives or </w:t>
      </w:r>
      <w:r w:rsidRPr="0091583C">
        <w:rPr>
          <w:sz w:val="22"/>
          <w:szCs w:val="22"/>
        </w:rPr>
        <w:t xml:space="preserve">requirements for lead managers of issues to maintain adequate secondary pricing on the exchange.  This requirement should not be </w:t>
      </w:r>
      <w:proofErr w:type="gramStart"/>
      <w:r w:rsidRPr="0091583C">
        <w:rPr>
          <w:sz w:val="22"/>
          <w:szCs w:val="22"/>
        </w:rPr>
        <w:t>onerous</w:t>
      </w:r>
      <w:r>
        <w:rPr>
          <w:sz w:val="22"/>
          <w:szCs w:val="22"/>
        </w:rPr>
        <w:t>,</w:t>
      </w:r>
      <w:proofErr w:type="gramEnd"/>
      <w:r w:rsidRPr="0091583C">
        <w:rPr>
          <w:sz w:val="22"/>
          <w:szCs w:val="22"/>
        </w:rPr>
        <w:t xml:space="preserve"> however the lead or lead(s) should be expected to maintain a secondary market presence for the term on the issue.</w:t>
      </w:r>
    </w:p>
    <w:p w:rsidR="00CA06D1" w:rsidRDefault="00CA06D1" w:rsidP="00DC5CAD">
      <w:pPr>
        <w:pStyle w:val="Heading1"/>
        <w:numPr>
          <w:ilvl w:val="0"/>
          <w:numId w:val="0"/>
        </w:numPr>
        <w:ind w:left="851" w:hanging="851"/>
        <w:rPr>
          <w:b/>
          <w:color w:val="808080" w:themeColor="background1" w:themeShade="80"/>
          <w:kern w:val="0"/>
          <w:sz w:val="28"/>
          <w:szCs w:val="28"/>
        </w:rPr>
      </w:pPr>
      <w:r>
        <w:rPr>
          <w:b/>
          <w:color w:val="808080" w:themeColor="background1" w:themeShade="80"/>
          <w:kern w:val="0"/>
          <w:sz w:val="28"/>
          <w:szCs w:val="28"/>
        </w:rPr>
        <w:t>Question 55</w:t>
      </w:r>
    </w:p>
    <w:p w:rsidR="00CA06D1" w:rsidRPr="00CA06D1" w:rsidRDefault="00CA06D1" w:rsidP="00CA06D1">
      <w:pPr>
        <w:pStyle w:val="Heading1"/>
        <w:rPr>
          <w:sz w:val="22"/>
          <w:szCs w:val="22"/>
        </w:rPr>
      </w:pPr>
      <w:r>
        <w:rPr>
          <w:sz w:val="22"/>
          <w:szCs w:val="22"/>
        </w:rPr>
        <w:t>We believe that this is a function of ensuring ease of listing.  Removing the spread requirements will assist in that regard.</w:t>
      </w:r>
    </w:p>
    <w:p w:rsidR="00DC5CAD" w:rsidRPr="00DC5CAD" w:rsidRDefault="00DC5CAD" w:rsidP="00DC5CAD">
      <w:pPr>
        <w:pStyle w:val="Heading1"/>
        <w:numPr>
          <w:ilvl w:val="0"/>
          <w:numId w:val="0"/>
        </w:numPr>
        <w:ind w:left="851" w:hanging="851"/>
        <w:rPr>
          <w:rFonts w:ascii="Calibri" w:hAnsi="Calibri" w:cs="Calibri"/>
          <w:sz w:val="22"/>
          <w:szCs w:val="22"/>
        </w:rPr>
      </w:pPr>
      <w:r>
        <w:rPr>
          <w:b/>
          <w:color w:val="808080" w:themeColor="background1" w:themeShade="80"/>
          <w:kern w:val="0"/>
          <w:sz w:val="28"/>
          <w:szCs w:val="28"/>
        </w:rPr>
        <w:t>Question 56</w:t>
      </w:r>
    </w:p>
    <w:p w:rsidR="00DC5CAD" w:rsidRDefault="00DC5CAD" w:rsidP="00141266">
      <w:pPr>
        <w:pStyle w:val="Heading1"/>
        <w:rPr>
          <w:sz w:val="22"/>
          <w:szCs w:val="22"/>
        </w:rPr>
      </w:pPr>
      <w:r>
        <w:rPr>
          <w:sz w:val="22"/>
          <w:szCs w:val="22"/>
        </w:rPr>
        <w:t xml:space="preserve">NZBA is not convinced that there is demand for the listing of wholesale debt instruments.  </w:t>
      </w:r>
      <w:r w:rsidRPr="00DC5CAD">
        <w:rPr>
          <w:sz w:val="22"/>
          <w:szCs w:val="22"/>
        </w:rPr>
        <w:t xml:space="preserve">However, </w:t>
      </w:r>
      <w:r>
        <w:rPr>
          <w:sz w:val="22"/>
          <w:szCs w:val="22"/>
        </w:rPr>
        <w:t>NZBA would support the listing of wholesale debt instruments in the following circumstances:</w:t>
      </w:r>
    </w:p>
    <w:p w:rsidR="00DC5CAD" w:rsidRDefault="00DC5CAD" w:rsidP="00DC5CAD">
      <w:pPr>
        <w:pStyle w:val="Heading2"/>
        <w:rPr>
          <w:sz w:val="22"/>
          <w:szCs w:val="22"/>
        </w:rPr>
      </w:pPr>
      <w:proofErr w:type="gramStart"/>
      <w:r w:rsidRPr="00DC5CAD">
        <w:rPr>
          <w:sz w:val="22"/>
          <w:szCs w:val="22"/>
        </w:rPr>
        <w:t>listing</w:t>
      </w:r>
      <w:proofErr w:type="gramEnd"/>
      <w:r w:rsidRPr="00DC5CAD">
        <w:rPr>
          <w:sz w:val="22"/>
          <w:szCs w:val="22"/>
        </w:rPr>
        <w:t xml:space="preserve"> fees </w:t>
      </w:r>
      <w:r>
        <w:rPr>
          <w:sz w:val="22"/>
          <w:szCs w:val="22"/>
        </w:rPr>
        <w:t>are</w:t>
      </w:r>
      <w:r w:rsidRPr="00DC5CAD">
        <w:rPr>
          <w:sz w:val="22"/>
          <w:szCs w:val="22"/>
        </w:rPr>
        <w:t xml:space="preserve"> reduced</w:t>
      </w:r>
      <w:r>
        <w:rPr>
          <w:sz w:val="22"/>
          <w:szCs w:val="22"/>
        </w:rPr>
        <w:t>;</w:t>
      </w:r>
    </w:p>
    <w:p w:rsidR="00DC5CAD" w:rsidRDefault="00DC5CAD" w:rsidP="00DC5CAD">
      <w:pPr>
        <w:pStyle w:val="Heading2"/>
        <w:rPr>
          <w:sz w:val="22"/>
          <w:szCs w:val="22"/>
        </w:rPr>
      </w:pPr>
      <w:proofErr w:type="gramStart"/>
      <w:r w:rsidRPr="00DC5CAD">
        <w:rPr>
          <w:sz w:val="22"/>
          <w:szCs w:val="22"/>
        </w:rPr>
        <w:t>administ</w:t>
      </w:r>
      <w:r>
        <w:rPr>
          <w:sz w:val="22"/>
          <w:szCs w:val="22"/>
        </w:rPr>
        <w:t>ration</w:t>
      </w:r>
      <w:proofErr w:type="gramEnd"/>
      <w:r>
        <w:rPr>
          <w:sz w:val="22"/>
          <w:szCs w:val="22"/>
        </w:rPr>
        <w:t xml:space="preserve"> procedures are streamlined</w:t>
      </w:r>
      <w:r w:rsidR="003D203C">
        <w:rPr>
          <w:sz w:val="22"/>
          <w:szCs w:val="22"/>
        </w:rPr>
        <w:t xml:space="preserve"> and simple, clear rules are introduced</w:t>
      </w:r>
      <w:r>
        <w:rPr>
          <w:sz w:val="22"/>
          <w:szCs w:val="22"/>
        </w:rPr>
        <w:t xml:space="preserve">; </w:t>
      </w:r>
    </w:p>
    <w:p w:rsidR="00DC5CAD" w:rsidRDefault="00DC5CAD" w:rsidP="00DC5CAD">
      <w:pPr>
        <w:pStyle w:val="Heading2"/>
        <w:rPr>
          <w:sz w:val="22"/>
          <w:szCs w:val="22"/>
        </w:rPr>
      </w:pPr>
      <w:proofErr w:type="gramStart"/>
      <w:r w:rsidRPr="00DC5CAD">
        <w:rPr>
          <w:sz w:val="22"/>
          <w:szCs w:val="22"/>
        </w:rPr>
        <w:t>the</w:t>
      </w:r>
      <w:proofErr w:type="gramEnd"/>
      <w:r w:rsidRPr="00DC5CAD">
        <w:rPr>
          <w:sz w:val="22"/>
          <w:szCs w:val="22"/>
        </w:rPr>
        <w:t xml:space="preserve"> period between first approaching NZX and launching a wholesale issue </w:t>
      </w:r>
      <w:r w:rsidR="007E6C47">
        <w:rPr>
          <w:sz w:val="22"/>
          <w:szCs w:val="22"/>
        </w:rPr>
        <w:t>is</w:t>
      </w:r>
      <w:r w:rsidRPr="00DC5CAD">
        <w:rPr>
          <w:sz w:val="22"/>
          <w:szCs w:val="22"/>
        </w:rPr>
        <w:t xml:space="preserve"> reduc</w:t>
      </w:r>
      <w:r>
        <w:rPr>
          <w:sz w:val="22"/>
          <w:szCs w:val="22"/>
        </w:rPr>
        <w:t>ed (</w:t>
      </w:r>
      <w:proofErr w:type="spellStart"/>
      <w:r>
        <w:rPr>
          <w:sz w:val="22"/>
          <w:szCs w:val="22"/>
        </w:rPr>
        <w:t>eg</w:t>
      </w:r>
      <w:proofErr w:type="spellEnd"/>
      <w:r w:rsidR="00EB3935">
        <w:rPr>
          <w:sz w:val="22"/>
          <w:szCs w:val="22"/>
        </w:rPr>
        <w:t xml:space="preserve"> to </w:t>
      </w:r>
      <w:r w:rsidR="00A91DB8">
        <w:rPr>
          <w:sz w:val="22"/>
          <w:szCs w:val="22"/>
        </w:rPr>
        <w:t>3</w:t>
      </w:r>
      <w:r>
        <w:rPr>
          <w:sz w:val="22"/>
          <w:szCs w:val="22"/>
        </w:rPr>
        <w:t>-</w:t>
      </w:r>
      <w:r w:rsidR="00A91DB8">
        <w:rPr>
          <w:sz w:val="22"/>
          <w:szCs w:val="22"/>
        </w:rPr>
        <w:t>5</w:t>
      </w:r>
      <w:r>
        <w:rPr>
          <w:sz w:val="22"/>
          <w:szCs w:val="22"/>
        </w:rPr>
        <w:t xml:space="preserve"> business days); and</w:t>
      </w:r>
    </w:p>
    <w:p w:rsidR="00CA06D1" w:rsidRPr="00CA06D1" w:rsidRDefault="00DC5CAD" w:rsidP="00CA06D1">
      <w:pPr>
        <w:pStyle w:val="Heading2"/>
        <w:rPr>
          <w:sz w:val="22"/>
          <w:szCs w:val="22"/>
        </w:rPr>
      </w:pPr>
      <w:proofErr w:type="gramStart"/>
      <w:r>
        <w:rPr>
          <w:sz w:val="22"/>
          <w:szCs w:val="22"/>
        </w:rPr>
        <w:t>w</w:t>
      </w:r>
      <w:r w:rsidRPr="00DC5CAD">
        <w:rPr>
          <w:sz w:val="22"/>
          <w:szCs w:val="22"/>
        </w:rPr>
        <w:t>holesale</w:t>
      </w:r>
      <w:proofErr w:type="gramEnd"/>
      <w:r w:rsidRPr="00DC5CAD">
        <w:rPr>
          <w:sz w:val="22"/>
          <w:szCs w:val="22"/>
        </w:rPr>
        <w:t xml:space="preserve"> listed issuances qualify for zero percent </w:t>
      </w:r>
      <w:r w:rsidR="007E6C47">
        <w:rPr>
          <w:sz w:val="22"/>
          <w:szCs w:val="22"/>
        </w:rPr>
        <w:t>AIL</w:t>
      </w:r>
      <w:r w:rsidRPr="00DC5CAD">
        <w:rPr>
          <w:sz w:val="22"/>
          <w:szCs w:val="22"/>
        </w:rPr>
        <w:t>.</w:t>
      </w:r>
    </w:p>
    <w:p w:rsidR="007E6C47" w:rsidRDefault="007E6C47" w:rsidP="007D4378">
      <w:pPr>
        <w:pStyle w:val="Style2"/>
        <w:numPr>
          <w:ilvl w:val="0"/>
          <w:numId w:val="0"/>
        </w:numPr>
        <w:rPr>
          <w:b/>
          <w:color w:val="808080" w:themeColor="background1" w:themeShade="80"/>
          <w:kern w:val="0"/>
          <w:sz w:val="28"/>
          <w:szCs w:val="28"/>
        </w:rPr>
      </w:pPr>
      <w:r>
        <w:rPr>
          <w:b/>
          <w:color w:val="808080" w:themeColor="background1" w:themeShade="80"/>
          <w:kern w:val="0"/>
          <w:sz w:val="28"/>
          <w:szCs w:val="28"/>
        </w:rPr>
        <w:t>Question 57</w:t>
      </w:r>
    </w:p>
    <w:p w:rsidR="007E6C47" w:rsidRPr="007E6C47" w:rsidRDefault="007E6C47" w:rsidP="007E6C47">
      <w:pPr>
        <w:pStyle w:val="Style2"/>
        <w:rPr>
          <w:b/>
          <w:color w:val="808080" w:themeColor="background1" w:themeShade="80"/>
          <w:kern w:val="0"/>
        </w:rPr>
      </w:pPr>
      <w:r>
        <w:rPr>
          <w:lang w:val="en-IN"/>
        </w:rPr>
        <w:t xml:space="preserve">NZBA considers </w:t>
      </w:r>
      <w:r w:rsidRPr="007E6C47">
        <w:rPr>
          <w:lang w:val="en-IN"/>
        </w:rPr>
        <w:t xml:space="preserve">that NZX should consider amendments to Rule 7.11.1 of the Listing Rules, which </w:t>
      </w:r>
      <w:r w:rsidRPr="007E6C47">
        <w:t>requires</w:t>
      </w:r>
      <w:r>
        <w:rPr>
          <w:lang w:val="en-IN"/>
        </w:rPr>
        <w:t xml:space="preserve"> bonds to be allotted within 5 days of the offer closing.</w:t>
      </w:r>
    </w:p>
    <w:p w:rsidR="003D203C" w:rsidRPr="003D203C" w:rsidRDefault="003D203C" w:rsidP="003D203C">
      <w:pPr>
        <w:pStyle w:val="Style2"/>
        <w:rPr>
          <w:b/>
          <w:kern w:val="0"/>
        </w:rPr>
      </w:pPr>
      <w:r w:rsidRPr="003D203C">
        <w:rPr>
          <w:lang w:val="en-IN"/>
        </w:rPr>
        <w:t xml:space="preserve">With the introduction of the Quoted Financial Product exemption (where a full disclosure document is not required for issues of quoted products of the ‘same class’ as a product that is already listed) under the Financial Markets Conduct Act, Issuers are looking </w:t>
      </w:r>
      <w:r w:rsidR="0066274D">
        <w:rPr>
          <w:lang w:val="en-IN"/>
        </w:rPr>
        <w:t>for an extension to</w:t>
      </w:r>
      <w:r w:rsidRPr="003D203C">
        <w:rPr>
          <w:lang w:val="en-IN"/>
        </w:rPr>
        <w:t xml:space="preserve"> the </w:t>
      </w:r>
      <w:r>
        <w:rPr>
          <w:lang w:val="en-IN"/>
        </w:rPr>
        <w:t>selling period longer than the five</w:t>
      </w:r>
      <w:r w:rsidRPr="003D203C">
        <w:rPr>
          <w:lang w:val="en-IN"/>
        </w:rPr>
        <w:t xml:space="preserve"> day timeframe after the closing date. </w:t>
      </w:r>
      <w:r>
        <w:rPr>
          <w:lang w:val="en-IN"/>
        </w:rPr>
        <w:t xml:space="preserve"> </w:t>
      </w:r>
      <w:r w:rsidRPr="003D203C">
        <w:rPr>
          <w:lang w:val="en-IN"/>
        </w:rPr>
        <w:t xml:space="preserve">We </w:t>
      </w:r>
      <w:r>
        <w:rPr>
          <w:lang w:val="en-IN"/>
        </w:rPr>
        <w:t>consider</w:t>
      </w:r>
      <w:r w:rsidRPr="003D203C">
        <w:rPr>
          <w:lang w:val="en-IN"/>
        </w:rPr>
        <w:t xml:space="preserve"> that a 10 business day requirement </w:t>
      </w:r>
      <w:r>
        <w:rPr>
          <w:lang w:val="en-IN"/>
        </w:rPr>
        <w:t>would</w:t>
      </w:r>
      <w:r w:rsidRPr="003D203C">
        <w:rPr>
          <w:lang w:val="en-IN"/>
        </w:rPr>
        <w:t xml:space="preserve"> better meet the needs of the market.</w:t>
      </w:r>
    </w:p>
    <w:p w:rsidR="00EB3935" w:rsidRDefault="00EB3935" w:rsidP="007D4378">
      <w:pPr>
        <w:pStyle w:val="Style2"/>
        <w:numPr>
          <w:ilvl w:val="0"/>
          <w:numId w:val="0"/>
        </w:numPr>
        <w:rPr>
          <w:b/>
          <w:color w:val="808080" w:themeColor="background1" w:themeShade="80"/>
          <w:kern w:val="0"/>
          <w:sz w:val="28"/>
          <w:szCs w:val="28"/>
        </w:rPr>
      </w:pPr>
      <w:r>
        <w:rPr>
          <w:b/>
          <w:color w:val="808080" w:themeColor="background1" w:themeShade="80"/>
          <w:kern w:val="0"/>
          <w:sz w:val="28"/>
          <w:szCs w:val="28"/>
        </w:rPr>
        <w:t>Question 58</w:t>
      </w:r>
    </w:p>
    <w:p w:rsidR="00750B34" w:rsidRPr="00750B34" w:rsidRDefault="00750B34" w:rsidP="00750B34">
      <w:pPr>
        <w:pStyle w:val="Style2"/>
      </w:pPr>
      <w:r>
        <w:t>NZBA considers that the following should be</w:t>
      </w:r>
      <w:r w:rsidRPr="00EB3935">
        <w:t xml:space="preserve"> permanent features of the Listing </w:t>
      </w:r>
      <w:r w:rsidRPr="00750B34">
        <w:t>Rules:</w:t>
      </w:r>
    </w:p>
    <w:p w:rsidR="00750B34" w:rsidRPr="00750B34" w:rsidRDefault="00750B34" w:rsidP="00750B34">
      <w:pPr>
        <w:pStyle w:val="Heading2"/>
        <w:rPr>
          <w:sz w:val="22"/>
          <w:szCs w:val="22"/>
          <w:lang w:val="en-US"/>
        </w:rPr>
      </w:pPr>
      <w:r w:rsidRPr="00750B34">
        <w:rPr>
          <w:sz w:val="22"/>
          <w:szCs w:val="22"/>
          <w:lang w:val="en-US"/>
        </w:rPr>
        <w:lastRenderedPageBreak/>
        <w:t>No supervisor is required to be appointed for issues of debt securities by registered bank</w:t>
      </w:r>
      <w:r w:rsidR="0066274D">
        <w:rPr>
          <w:sz w:val="22"/>
          <w:szCs w:val="22"/>
          <w:lang w:val="en-US"/>
        </w:rPr>
        <w:t>s</w:t>
      </w:r>
      <w:bookmarkStart w:id="1" w:name="_GoBack"/>
      <w:bookmarkEnd w:id="1"/>
      <w:r w:rsidRPr="00750B34">
        <w:rPr>
          <w:sz w:val="22"/>
          <w:szCs w:val="22"/>
          <w:lang w:val="en-US"/>
        </w:rPr>
        <w:t xml:space="preserve"> in accordance with NZX Listing Rule 3.2.1(a) (given registered banks are not required to have a trustee for their debt instruments).</w:t>
      </w:r>
    </w:p>
    <w:p w:rsidR="00750B34" w:rsidRPr="00750B34" w:rsidRDefault="00750B34" w:rsidP="00750B34">
      <w:pPr>
        <w:pStyle w:val="Heading2"/>
        <w:rPr>
          <w:sz w:val="22"/>
          <w:szCs w:val="22"/>
          <w:lang w:val="en-US"/>
        </w:rPr>
      </w:pPr>
      <w:r w:rsidRPr="00750B34">
        <w:rPr>
          <w:sz w:val="22"/>
          <w:szCs w:val="22"/>
          <w:lang w:val="en-US"/>
        </w:rPr>
        <w:t>In relation to convertible fixed interest instruments, the ten business day notice requirement in NZX Listing Rule 7.12.2 does not apply to routine payments of interest, provided details of the interest rate setting process and the interest rate determined are disclosed in the applicable offer document and announced via NZX on or before the issue date.</w:t>
      </w:r>
    </w:p>
    <w:p w:rsidR="00750B34" w:rsidRPr="00750B34" w:rsidRDefault="00750B34" w:rsidP="00750B34">
      <w:pPr>
        <w:pStyle w:val="Heading2"/>
        <w:rPr>
          <w:sz w:val="22"/>
          <w:szCs w:val="22"/>
          <w:lang w:val="en-US"/>
        </w:rPr>
      </w:pPr>
      <w:r w:rsidRPr="00750B34">
        <w:rPr>
          <w:sz w:val="22"/>
          <w:szCs w:val="22"/>
          <w:lang w:val="en-US"/>
        </w:rPr>
        <w:t>The ability to decline to make a transfer where this would result in the transferor or transferee holding debt instruments with a face value of less than a prescribed minimum amount.</w:t>
      </w:r>
    </w:p>
    <w:p w:rsidR="00750B34" w:rsidRPr="00750B34" w:rsidRDefault="00750B34" w:rsidP="00750B34">
      <w:pPr>
        <w:pStyle w:val="Heading2"/>
        <w:rPr>
          <w:sz w:val="22"/>
          <w:szCs w:val="22"/>
          <w:lang w:val="en-US"/>
        </w:rPr>
      </w:pPr>
      <w:r w:rsidRPr="00750B34">
        <w:rPr>
          <w:sz w:val="22"/>
          <w:szCs w:val="22"/>
          <w:lang w:val="en-US"/>
        </w:rPr>
        <w:t>The ability to decline to make a transfer where this would not comply with certain Australian selling restrictions.</w:t>
      </w:r>
    </w:p>
    <w:p w:rsidR="00EB3935" w:rsidRDefault="00EB3935" w:rsidP="007D4378">
      <w:pPr>
        <w:pStyle w:val="Style2"/>
        <w:numPr>
          <w:ilvl w:val="0"/>
          <w:numId w:val="0"/>
        </w:numPr>
        <w:rPr>
          <w:b/>
          <w:color w:val="808080" w:themeColor="background1" w:themeShade="80"/>
          <w:kern w:val="0"/>
          <w:sz w:val="28"/>
          <w:szCs w:val="28"/>
        </w:rPr>
      </w:pPr>
      <w:r>
        <w:rPr>
          <w:b/>
          <w:color w:val="808080" w:themeColor="background1" w:themeShade="80"/>
          <w:kern w:val="0"/>
          <w:sz w:val="28"/>
          <w:szCs w:val="28"/>
        </w:rPr>
        <w:t>Question 59</w:t>
      </w:r>
    </w:p>
    <w:p w:rsidR="00EB3935" w:rsidRPr="00F26144" w:rsidRDefault="00F26144" w:rsidP="00EB3935">
      <w:pPr>
        <w:pStyle w:val="Style2"/>
        <w:rPr>
          <w:kern w:val="0"/>
        </w:rPr>
      </w:pPr>
      <w:r>
        <w:t>NZBA reiterates its response to question 32 (set out above at paragraph [</w:t>
      </w:r>
      <w:r w:rsidR="005B40E6">
        <w:fldChar w:fldCharType="begin"/>
      </w:r>
      <w:r w:rsidR="005B40E6">
        <w:instrText xml:space="preserve"> REF _Ref498003427 \r \h </w:instrText>
      </w:r>
      <w:r w:rsidR="005B40E6">
        <w:fldChar w:fldCharType="separate"/>
      </w:r>
      <w:r w:rsidR="00774C8D">
        <w:t>8</w:t>
      </w:r>
      <w:r w:rsidR="005B40E6">
        <w:fldChar w:fldCharType="end"/>
      </w:r>
      <w:r>
        <w:t>]).</w:t>
      </w:r>
    </w:p>
    <w:p w:rsidR="00E5214A" w:rsidRPr="00135589" w:rsidRDefault="00E5214A" w:rsidP="007D4378">
      <w:pPr>
        <w:pStyle w:val="Style2"/>
        <w:numPr>
          <w:ilvl w:val="0"/>
          <w:numId w:val="0"/>
        </w:numPr>
        <w:rPr>
          <w:b/>
          <w:color w:val="808080" w:themeColor="background1" w:themeShade="80"/>
          <w:kern w:val="0"/>
          <w:sz w:val="28"/>
          <w:szCs w:val="28"/>
        </w:rPr>
      </w:pPr>
      <w:r w:rsidRPr="00135589">
        <w:rPr>
          <w:b/>
          <w:color w:val="808080" w:themeColor="background1" w:themeShade="80"/>
          <w:kern w:val="0"/>
          <w:sz w:val="28"/>
          <w:szCs w:val="28"/>
        </w:rPr>
        <w:t>Question 76</w:t>
      </w:r>
    </w:p>
    <w:p w:rsidR="00E5214A" w:rsidRDefault="005B40E6" w:rsidP="00E5214A">
      <w:pPr>
        <w:pStyle w:val="Style2"/>
      </w:pPr>
      <w:r>
        <w:t>NZBA</w:t>
      </w:r>
      <w:r w:rsidR="00E5214A" w:rsidRPr="00E5214A">
        <w:t xml:space="preserve"> support</w:t>
      </w:r>
      <w:r>
        <w:t>s</w:t>
      </w:r>
      <w:r w:rsidR="00E5214A" w:rsidRPr="00E5214A">
        <w:t xml:space="preserve"> the proposal to amend the current requirement under Listing Rule 5.2.2(b) so that </w:t>
      </w:r>
      <w:r w:rsidR="007E6C47">
        <w:t>Issuer</w:t>
      </w:r>
      <w:r w:rsidR="00E5214A" w:rsidRPr="00E5214A">
        <w:t>s are not required to provide evidence of an Organising Participant receiving authority to act from NZX provided they remain accredited.</w:t>
      </w:r>
    </w:p>
    <w:p w:rsidR="00E5214A" w:rsidRPr="00E5214A" w:rsidRDefault="00E5214A" w:rsidP="00E5214A">
      <w:pPr>
        <w:pStyle w:val="Style2"/>
        <w:numPr>
          <w:ilvl w:val="0"/>
          <w:numId w:val="0"/>
        </w:numPr>
        <w:ind w:left="851" w:hanging="851"/>
        <w:rPr>
          <w:b/>
          <w:color w:val="808080" w:themeColor="background1" w:themeShade="80"/>
          <w:kern w:val="0"/>
          <w:sz w:val="28"/>
          <w:szCs w:val="28"/>
        </w:rPr>
      </w:pPr>
      <w:r>
        <w:rPr>
          <w:b/>
          <w:color w:val="808080" w:themeColor="background1" w:themeShade="80"/>
          <w:kern w:val="0"/>
          <w:sz w:val="28"/>
          <w:szCs w:val="28"/>
        </w:rPr>
        <w:t>Question 79</w:t>
      </w:r>
    </w:p>
    <w:p w:rsidR="00E5214A" w:rsidRDefault="005B40E6" w:rsidP="00E5214A">
      <w:pPr>
        <w:pStyle w:val="Style2"/>
      </w:pPr>
      <w:r>
        <w:t>NZBA considers</w:t>
      </w:r>
      <w:r w:rsidR="00E5214A">
        <w:t xml:space="preserve"> that Listing Rule 2.2.</w:t>
      </w:r>
      <w:r w:rsidR="007E6C47">
        <w:t xml:space="preserve">1 </w:t>
      </w:r>
      <w:proofErr w:type="gramStart"/>
      <w:r w:rsidR="007E6C47">
        <w:t>should be amended</w:t>
      </w:r>
      <w:proofErr w:type="gramEnd"/>
      <w:r w:rsidR="007E6C47">
        <w:t xml:space="preserve"> to provide Issuer</w:t>
      </w:r>
      <w:r w:rsidR="00E5214A">
        <w:t xml:space="preserve">s with greater clarity and certainty in respect of what is required to comply with this obligation. </w:t>
      </w:r>
    </w:p>
    <w:p w:rsidR="003D203C" w:rsidRPr="003D203C" w:rsidRDefault="003D203C" w:rsidP="003D203C">
      <w:pPr>
        <w:pStyle w:val="Style2"/>
      </w:pPr>
      <w:r w:rsidRPr="003D203C">
        <w:t xml:space="preserve">The current obligation for an Issuer to take “all steps within its powers” to ensure compliance by its Subsidiaries imposes a very onerous and uncertain standard. From a practical perspective, it is difficult to envisage how this </w:t>
      </w:r>
      <w:proofErr w:type="gramStart"/>
      <w:r w:rsidRPr="003D203C">
        <w:t>could be achieved</w:t>
      </w:r>
      <w:proofErr w:type="gramEnd"/>
      <w:r w:rsidRPr="003D203C">
        <w:t xml:space="preserve">. </w:t>
      </w:r>
      <w:r>
        <w:t xml:space="preserve"> </w:t>
      </w:r>
      <w:r w:rsidRPr="003D203C">
        <w:t>As the Issuer is ultimately responsible for compliance with the applicable Listing Rules, this rule is not required in the current all-encompassing form.</w:t>
      </w:r>
      <w:r>
        <w:t xml:space="preserve">  Accordingly, w</w:t>
      </w:r>
      <w:r w:rsidRPr="003D203C">
        <w:t>e consider this rule should be modified to state “Every Issuer will be responsible for ensuring that</w:t>
      </w:r>
      <w:r w:rsidR="001B7005">
        <w:t>: …</w:t>
      </w:r>
      <w:proofErr w:type="gramStart"/>
      <w:r w:rsidR="001B7005">
        <w:t>”.</w:t>
      </w:r>
      <w:proofErr w:type="gramEnd"/>
    </w:p>
    <w:p w:rsidR="00E5214A" w:rsidRPr="003D203C" w:rsidRDefault="003D203C" w:rsidP="003D203C">
      <w:pPr>
        <w:pStyle w:val="Style2"/>
      </w:pPr>
      <w:r w:rsidRPr="003D203C">
        <w:t xml:space="preserve">Alternatively, the rule could be modified to include a requirement for the Issuer to take “reasonable steps” to ensure </w:t>
      </w:r>
      <w:proofErr w:type="gramStart"/>
      <w:r w:rsidRPr="003D203C">
        <w:t>compliance,</w:t>
      </w:r>
      <w:proofErr w:type="gramEnd"/>
      <w:r w:rsidRPr="003D203C">
        <w:t xml:space="preserve"> or, to have in place adequate and effective policies and processes that are likely to ensure compliance by Subsidiaries with the Listing Rules.  We note that this latter requirement corresponds with the obligations imposed under the Standard Conditions for market services licensees under the Financial Markets Conduct Act.  </w:t>
      </w:r>
    </w:p>
    <w:sectPr w:rsidR="00E5214A" w:rsidRPr="003D203C" w:rsidSect="00E66A3E">
      <w:headerReference w:type="even" r:id="rId9"/>
      <w:headerReference w:type="default" r:id="rId10"/>
      <w:footerReference w:type="even" r:id="rId11"/>
      <w:footerReference w:type="default" r:id="rId12"/>
      <w:headerReference w:type="first" r:id="rId13"/>
      <w:footerReference w:type="first" r:id="rId14"/>
      <w:pgSz w:w="11907" w:h="16840" w:code="9"/>
      <w:pgMar w:top="1276" w:right="1418" w:bottom="1418" w:left="1418" w:header="426" w:footer="42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C5" w:rsidRPr="00B21D81" w:rsidRDefault="006F29C5" w:rsidP="00B21D81">
      <w:pPr>
        <w:rPr>
          <w:color w:val="A6A6A6"/>
          <w:sz w:val="12"/>
        </w:rPr>
      </w:pPr>
      <w:r w:rsidRPr="00B21D81">
        <w:rPr>
          <w:color w:val="BFBFBF"/>
          <w:sz w:val="24"/>
        </w:rPr>
        <w:separator/>
      </w:r>
    </w:p>
  </w:endnote>
  <w:endnote w:type="continuationSeparator" w:id="0">
    <w:p w:rsidR="006F29C5" w:rsidRPr="00B21D81" w:rsidRDefault="006F29C5" w:rsidP="00B21D81">
      <w:pPr>
        <w:rPr>
          <w:color w:val="A6A6A6"/>
          <w:sz w:val="12"/>
        </w:rPr>
      </w:pPr>
      <w:r w:rsidRPr="00B21D81">
        <w:rPr>
          <w:color w:val="BFBFBF"/>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3A" w:rsidRDefault="00E549E9">
    <w:pPr>
      <w:pStyle w:val="Footer"/>
      <w:framePr w:wrap="around" w:vAnchor="text" w:hAnchor="margin" w:xAlign="right" w:y="1"/>
    </w:pPr>
    <w:r>
      <w:fldChar w:fldCharType="begin"/>
    </w:r>
    <w:r>
      <w:instrText xml:space="preserve">PAGE  </w:instrText>
    </w:r>
    <w:r>
      <w:fldChar w:fldCharType="separate"/>
    </w:r>
    <w:r w:rsidR="00CA4525">
      <w:t>1</w:t>
    </w:r>
    <w:r>
      <w:fldChar w:fldCharType="end"/>
    </w:r>
  </w:p>
  <w:p w:rsidR="00EF4C3A" w:rsidRDefault="00EF4C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A3E" w:rsidRPr="00E66A3E" w:rsidRDefault="00E66A3E" w:rsidP="00CA389C">
    <w:pPr>
      <w:pStyle w:val="Footer"/>
      <w:tabs>
        <w:tab w:val="right" w:pos="9071"/>
      </w:tabs>
      <w:rPr>
        <w:lang w:val="en-NZ"/>
      </w:rPr>
    </w:pPr>
    <w:r w:rsidRPr="00E66A3E">
      <w:drawing>
        <wp:inline distT="0" distB="0" distL="0" distR="0" wp14:anchorId="267A410B" wp14:editId="3B1E19D7">
          <wp:extent cx="900000" cy="165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BA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165600"/>
                  </a:xfrm>
                  <a:prstGeom prst="rect">
                    <a:avLst/>
                  </a:prstGeom>
                </pic:spPr>
              </pic:pic>
            </a:graphicData>
          </a:graphic>
        </wp:inline>
      </w:drawing>
    </w:r>
    <w:r w:rsidRPr="00E66A3E">
      <w:rPr>
        <w:lang w:val="en-NZ"/>
      </w:rPr>
      <w:tab/>
    </w:r>
    <w:r w:rsidRPr="00CA389C">
      <w:rPr>
        <w:sz w:val="16"/>
        <w:szCs w:val="16"/>
        <w:lang w:val="en-NZ"/>
      </w:rPr>
      <w:fldChar w:fldCharType="begin"/>
    </w:r>
    <w:r w:rsidRPr="00CA389C">
      <w:rPr>
        <w:sz w:val="16"/>
        <w:szCs w:val="16"/>
        <w:lang w:val="en-NZ"/>
      </w:rPr>
      <w:instrText xml:space="preserve"> PAGE   \* MERGEFORMAT </w:instrText>
    </w:r>
    <w:r w:rsidRPr="00CA389C">
      <w:rPr>
        <w:sz w:val="16"/>
        <w:szCs w:val="16"/>
        <w:lang w:val="en-NZ"/>
      </w:rPr>
      <w:fldChar w:fldCharType="separate"/>
    </w:r>
    <w:r w:rsidR="00774C8D">
      <w:rPr>
        <w:sz w:val="16"/>
        <w:szCs w:val="16"/>
        <w:lang w:val="en-NZ"/>
      </w:rPr>
      <w:t>5</w:t>
    </w:r>
    <w:r w:rsidRPr="00CA389C">
      <w:rPr>
        <w:sz w:val="16"/>
        <w:szCs w:val="16"/>
      </w:rPr>
      <w:fldChar w:fldCharType="end"/>
    </w:r>
  </w:p>
  <w:p w:rsidR="00EF4C3A" w:rsidRPr="00E66A3E" w:rsidRDefault="00EF4C3A" w:rsidP="00CA3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A3E" w:rsidRPr="00E66A3E" w:rsidRDefault="00E66A3E" w:rsidP="00E66A3E">
    <w:pPr>
      <w:pStyle w:val="Footer"/>
      <w:jc w:val="right"/>
      <w:rPr>
        <w:b/>
        <w:lang w:val="en-NZ"/>
      </w:rPr>
    </w:pPr>
    <w:r w:rsidRPr="00E66A3E">
      <w:rPr>
        <w:b/>
        <w:color w:val="BFBFBF" w:themeColor="background1" w:themeShade="BF"/>
        <w:lang w:val="en-NZ"/>
      </w:rPr>
      <w:t>NEW ZEALAND BANKERS ASSOCIATION</w:t>
    </w:r>
  </w:p>
  <w:p w:rsidR="00E66A3E" w:rsidRPr="00E66A3E" w:rsidRDefault="00E66A3E" w:rsidP="00E66A3E">
    <w:pPr>
      <w:pStyle w:val="Footer"/>
      <w:jc w:val="right"/>
      <w:rPr>
        <w:lang w:val="en-NZ"/>
      </w:rPr>
    </w:pPr>
    <w:r w:rsidRPr="00E66A3E">
      <w:rPr>
        <w:lang w:val="en-NZ"/>
      </w:rPr>
      <w:t>Level 15, 80 The Terrace, PO Box 3043, Wellington 6140, New Zealand</w:t>
    </w:r>
  </w:p>
  <w:p w:rsidR="00E66A3E" w:rsidRPr="00E66A3E" w:rsidRDefault="00E66A3E" w:rsidP="00E66A3E">
    <w:pPr>
      <w:pStyle w:val="Footer"/>
      <w:jc w:val="right"/>
      <w:rPr>
        <w:b/>
        <w:lang w:val="en-NZ"/>
      </w:rPr>
    </w:pPr>
    <w:r w:rsidRPr="00E66A3E">
      <w:rPr>
        <w:b/>
        <w:color w:val="BFBFBF" w:themeColor="background1" w:themeShade="BF"/>
        <w:lang w:val="en-NZ"/>
      </w:rPr>
      <w:t xml:space="preserve">TELEPHONE </w:t>
    </w:r>
    <w:r w:rsidRPr="00E66A3E">
      <w:rPr>
        <w:lang w:val="en-NZ"/>
      </w:rPr>
      <w:t xml:space="preserve">+64 4 802 3358 </w:t>
    </w:r>
    <w:r w:rsidRPr="00E66A3E">
      <w:rPr>
        <w:b/>
        <w:color w:val="BFBFBF" w:themeColor="background1" w:themeShade="BF"/>
        <w:lang w:val="en-NZ"/>
      </w:rPr>
      <w:t xml:space="preserve">EMAIL </w:t>
    </w:r>
    <w:r w:rsidRPr="00E66A3E">
      <w:rPr>
        <w:lang w:val="en-NZ"/>
      </w:rPr>
      <w:t xml:space="preserve">nzba@nzba.org.nz </w:t>
    </w:r>
    <w:r w:rsidRPr="00E66A3E">
      <w:rPr>
        <w:b/>
        <w:color w:val="BFBFBF" w:themeColor="background1" w:themeShade="BF"/>
        <w:lang w:val="en-NZ"/>
      </w:rPr>
      <w:t xml:space="preserve">WEB </w:t>
    </w:r>
    <w:r w:rsidRPr="00E66A3E">
      <w:rPr>
        <w:lang w:val="en-NZ"/>
      </w:rPr>
      <w:t>www.nzba.org.nz</w:t>
    </w:r>
  </w:p>
  <w:p w:rsidR="00EF4C3A" w:rsidRPr="00E66A3E" w:rsidRDefault="00EF4C3A" w:rsidP="00E66A3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C5" w:rsidRPr="00697014" w:rsidRDefault="006F29C5" w:rsidP="00E55175">
      <w:pPr>
        <w:rPr>
          <w:color w:val="A6A6A6" w:themeColor="background1" w:themeShade="A6"/>
          <w:sz w:val="12"/>
        </w:rPr>
      </w:pPr>
      <w:r w:rsidRPr="00697014">
        <w:rPr>
          <w:color w:val="BFBFBF" w:themeColor="background1" w:themeShade="BF"/>
          <w:sz w:val="24"/>
        </w:rPr>
        <w:separator/>
      </w:r>
    </w:p>
  </w:footnote>
  <w:footnote w:type="continuationSeparator" w:id="0">
    <w:p w:rsidR="006F29C5" w:rsidRPr="00697014" w:rsidRDefault="006F29C5" w:rsidP="00E55175">
      <w:pPr>
        <w:rPr>
          <w:color w:val="A6A6A6" w:themeColor="background1" w:themeShade="A6"/>
          <w:sz w:val="12"/>
        </w:rPr>
      </w:pPr>
      <w:r w:rsidRPr="00697014">
        <w:rPr>
          <w:color w:val="BFBFBF" w:themeColor="background1" w:themeShade="BF"/>
          <w:sz w:val="24"/>
        </w:rP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3A" w:rsidRDefault="004F16AD">
    <w:pPr>
      <w:pStyle w:val="Header"/>
      <w:framePr w:wrap="around" w:vAnchor="text" w:hAnchor="margin" w:xAlign="right" w:y="1"/>
      <w:rPr>
        <w:rStyle w:val="PageNumber"/>
      </w:rPr>
    </w:pPr>
    <w:r>
      <w:rPr>
        <w:rStyle w:val="PageNumber"/>
      </w:rPr>
      <w:fldChar w:fldCharType="begin"/>
    </w:r>
    <w:r w:rsidR="00EF4C3A">
      <w:rPr>
        <w:rStyle w:val="PageNumber"/>
      </w:rPr>
      <w:instrText xml:space="preserve">PAGE  </w:instrText>
    </w:r>
    <w:r>
      <w:rPr>
        <w:rStyle w:val="PageNumber"/>
      </w:rPr>
      <w:fldChar w:fldCharType="separate"/>
    </w:r>
    <w:r w:rsidR="00CA4525">
      <w:rPr>
        <w:rStyle w:val="PageNumber"/>
        <w:noProof/>
      </w:rPr>
      <w:t>1</w:t>
    </w:r>
    <w:r>
      <w:rPr>
        <w:rStyle w:val="PageNumber"/>
      </w:rPr>
      <w:fldChar w:fldCharType="end"/>
    </w:r>
  </w:p>
  <w:p w:rsidR="00EF4C3A" w:rsidRDefault="00EF4C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3A" w:rsidRDefault="00EF4C3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B9" w:rsidRDefault="00DC1BB9">
    <w:pPr>
      <w:pStyle w:val="Header"/>
    </w:pPr>
    <w:r>
      <w:rPr>
        <w:noProof/>
        <w:lang w:val="en-US"/>
      </w:rPr>
      <w:drawing>
        <wp:anchor distT="0" distB="0" distL="114300" distR="114300" simplePos="0" relativeHeight="251658240" behindDoc="1" locked="0" layoutInCell="1" allowOverlap="1">
          <wp:simplePos x="0" y="0"/>
          <wp:positionH relativeFrom="margin">
            <wp:posOffset>-725170</wp:posOffset>
          </wp:positionH>
          <wp:positionV relativeFrom="paragraph">
            <wp:posOffset>-175099</wp:posOffset>
          </wp:positionV>
          <wp:extent cx="7210425" cy="12814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1281430"/>
                  </a:xfrm>
                  <a:prstGeom prst="rect">
                    <a:avLst/>
                  </a:prstGeom>
                  <a:noFill/>
                </pic:spPr>
              </pic:pic>
            </a:graphicData>
          </a:graphic>
          <wp14:sizeRelH relativeFrom="margin">
            <wp14:pctWidth>0</wp14:pctWidth>
          </wp14:sizeRelH>
          <wp14:sizeRelV relativeFrom="margin">
            <wp14:pctHeight>0</wp14:pctHeight>
          </wp14:sizeRelV>
        </wp:anchor>
      </w:drawing>
    </w:r>
  </w:p>
  <w:p w:rsidR="00DC1BB9" w:rsidRDefault="00DC1BB9">
    <w:pPr>
      <w:pStyle w:val="Header"/>
    </w:pPr>
  </w:p>
  <w:p w:rsidR="00DC1BB9" w:rsidRDefault="00DC1BB9">
    <w:pPr>
      <w:pStyle w:val="Header"/>
    </w:pPr>
  </w:p>
  <w:p w:rsidR="00DC1BB9" w:rsidRDefault="00DC1BB9">
    <w:pPr>
      <w:pStyle w:val="Header"/>
    </w:pPr>
  </w:p>
  <w:p w:rsidR="00DC1BB9" w:rsidRDefault="00DC1BB9">
    <w:pPr>
      <w:pStyle w:val="Header"/>
    </w:pPr>
  </w:p>
  <w:p w:rsidR="00DC1BB9" w:rsidRDefault="00DC1BB9">
    <w:pPr>
      <w:pStyle w:val="Header"/>
    </w:pPr>
  </w:p>
  <w:p w:rsidR="00130B53" w:rsidRDefault="00130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56687"/>
    <w:multiLevelType w:val="multilevel"/>
    <w:tmpl w:val="FA9252A2"/>
    <w:lvl w:ilvl="0">
      <w:start w:val="1"/>
      <w:numFmt w:val="decimal"/>
      <w:pStyle w:val="Heading1"/>
      <w:lvlText w:val="%1."/>
      <w:lvlJc w:val="left"/>
      <w:pPr>
        <w:tabs>
          <w:tab w:val="num" w:pos="850"/>
        </w:tabs>
        <w:ind w:left="851" w:hanging="851"/>
      </w:pPr>
      <w:rPr>
        <w:rFonts w:ascii="Arial" w:hAnsi="Arial" w:cs="Arial" w:hint="default"/>
        <w:b w:val="0"/>
        <w:i w:val="0"/>
        <w:caps w:val="0"/>
        <w:strike w:val="0"/>
        <w:dstrike w:val="0"/>
        <w:outline w:val="0"/>
        <w:shadow w:val="0"/>
        <w:emboss w:val="0"/>
        <w:imprint w:val="0"/>
        <w:vanish w:val="0"/>
        <w:color w:val="auto"/>
        <w:kern w:val="28"/>
        <w:sz w:val="22"/>
        <w:u w:val="none"/>
        <w:effect w:val="none"/>
        <w:vertAlign w:val="baseline"/>
      </w:rPr>
    </w:lvl>
    <w:lvl w:ilvl="1">
      <w:start w:val="1"/>
      <w:numFmt w:val="lowerLetter"/>
      <w:pStyle w:val="Heading2"/>
      <w:lvlText w:val="(%2)"/>
      <w:lvlJc w:val="left"/>
      <w:pPr>
        <w:tabs>
          <w:tab w:val="num" w:pos="1701"/>
        </w:tabs>
        <w:ind w:left="1702"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2">
      <w:start w:val="1"/>
      <w:numFmt w:val="lowerRoman"/>
      <w:pStyle w:val="Heading3"/>
      <w:lvlText w:val="(%3)"/>
      <w:lvlJc w:val="left"/>
      <w:pPr>
        <w:tabs>
          <w:tab w:val="num" w:pos="2552"/>
        </w:tabs>
        <w:ind w:left="2553"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3">
      <w:start w:val="27"/>
      <w:numFmt w:val="lowerLetter"/>
      <w:pStyle w:val="Heading4"/>
      <w:lvlText w:val="(%4)"/>
      <w:lvlJc w:val="left"/>
      <w:pPr>
        <w:tabs>
          <w:tab w:val="num" w:pos="3403"/>
        </w:tabs>
        <w:ind w:left="3404"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4">
      <w:start w:val="1"/>
      <w:numFmt w:val="none"/>
      <w:pStyle w:val="Heading5"/>
      <w:lvlText w:val=""/>
      <w:lvlJc w:val="left"/>
      <w:pPr>
        <w:tabs>
          <w:tab w:val="num" w:pos="4254"/>
        </w:tabs>
        <w:ind w:left="4255"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5">
      <w:start w:val="1"/>
      <w:numFmt w:val="none"/>
      <w:pStyle w:val="Heading6"/>
      <w:lvlText w:val=""/>
      <w:lvlJc w:val="left"/>
      <w:pPr>
        <w:tabs>
          <w:tab w:val="num" w:pos="5105"/>
        </w:tabs>
        <w:ind w:left="5106"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6">
      <w:start w:val="1"/>
      <w:numFmt w:val="none"/>
      <w:pStyle w:val="Heading7"/>
      <w:lvlText w:val=""/>
      <w:lvlJc w:val="left"/>
      <w:pPr>
        <w:tabs>
          <w:tab w:val="num" w:pos="5956"/>
        </w:tabs>
        <w:ind w:left="5957"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7">
      <w:start w:val="1"/>
      <w:numFmt w:val="none"/>
      <w:pStyle w:val="Heading8"/>
      <w:lvlText w:val=""/>
      <w:lvlJc w:val="left"/>
      <w:pPr>
        <w:tabs>
          <w:tab w:val="num" w:pos="6807"/>
        </w:tabs>
        <w:ind w:left="6808"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8">
      <w:start w:val="1"/>
      <w:numFmt w:val="none"/>
      <w:pStyle w:val="Heading9"/>
      <w:lvlText w:val=""/>
      <w:lvlJc w:val="left"/>
      <w:pPr>
        <w:tabs>
          <w:tab w:val="num" w:pos="7658"/>
        </w:tabs>
        <w:ind w:left="7659"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abstractNum>
  <w:abstractNum w:abstractNumId="1" w15:restartNumberingAfterBreak="0">
    <w:nsid w:val="2E0A6EE6"/>
    <w:multiLevelType w:val="hybridMultilevel"/>
    <w:tmpl w:val="8D7EAA6A"/>
    <w:lvl w:ilvl="0" w:tplc="2AA41EB2">
      <w:start w:val="1"/>
      <w:numFmt w:val="decimal"/>
      <w:pStyle w:val="4normalParagraph"/>
      <w:lvlText w:val="%1."/>
      <w:lvlJc w:val="left"/>
      <w:pPr>
        <w:ind w:left="720" w:hanging="720"/>
      </w:pPr>
      <w:rPr>
        <w:rFonts w:ascii="Arial" w:hAnsi="Arial" w:cs="Arial" w:hint="default"/>
        <w:b w:val="0"/>
        <w:color w:val="auto"/>
        <w:sz w:val="22"/>
        <w:szCs w:val="24"/>
      </w:rPr>
    </w:lvl>
    <w:lvl w:ilvl="1" w:tplc="04090001">
      <w:start w:val="1"/>
      <w:numFmt w:val="bullet"/>
      <w:lvlText w:val=""/>
      <w:lvlJc w:val="left"/>
      <w:pPr>
        <w:ind w:left="1080" w:hanging="360"/>
      </w:pPr>
      <w:rPr>
        <w:rFonts w:ascii="Symbol" w:hAnsi="Symbol" w:hint="default"/>
        <w:b w:val="0"/>
        <w:sz w:val="22"/>
        <w:szCs w:val="22"/>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BD76FAE"/>
    <w:multiLevelType w:val="hybridMultilevel"/>
    <w:tmpl w:val="56E63EB2"/>
    <w:lvl w:ilvl="0" w:tplc="01B01084">
      <w:start w:val="58"/>
      <w:numFmt w:val="bullet"/>
      <w:lvlText w:val="-"/>
      <w:lvlJc w:val="left"/>
      <w:pPr>
        <w:ind w:left="1080" w:hanging="360"/>
      </w:pPr>
      <w:rPr>
        <w:rFonts w:ascii="Arial" w:eastAsia="Arial"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 w15:restartNumberingAfterBreak="0">
    <w:nsid w:val="584634E0"/>
    <w:multiLevelType w:val="multilevel"/>
    <w:tmpl w:val="AE627BEE"/>
    <w:lvl w:ilvl="0">
      <w:start w:val="1"/>
      <w:numFmt w:val="bullet"/>
      <w:pStyle w:val="Style3"/>
      <w:lvlText w:val=""/>
      <w:lvlJc w:val="left"/>
      <w:pPr>
        <w:tabs>
          <w:tab w:val="num" w:pos="850"/>
        </w:tabs>
        <w:ind w:left="851" w:hanging="851"/>
      </w:pPr>
      <w:rPr>
        <w:rFonts w:ascii="Symbol" w:hAnsi="Symbol" w:hint="default"/>
        <w:b w:val="0"/>
        <w:i w:val="0"/>
        <w:caps w:val="0"/>
        <w:strike w:val="0"/>
        <w:dstrike w:val="0"/>
        <w:outline w:val="0"/>
        <w:shadow w:val="0"/>
        <w:emboss w:val="0"/>
        <w:imprint w:val="0"/>
        <w:vanish w:val="0"/>
        <w:color w:val="auto"/>
        <w:kern w:val="28"/>
        <w:sz w:val="22"/>
        <w:u w:val="none"/>
        <w:effect w:val="none"/>
        <w:vertAlign w:val="baseline"/>
      </w:rPr>
    </w:lvl>
    <w:lvl w:ilvl="1">
      <w:start w:val="1"/>
      <w:numFmt w:val="lowerLetter"/>
      <w:lvlText w:val="(%2)"/>
      <w:lvlJc w:val="left"/>
      <w:pPr>
        <w:tabs>
          <w:tab w:val="num" w:pos="1701"/>
        </w:tabs>
        <w:ind w:left="1702"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2">
      <w:start w:val="1"/>
      <w:numFmt w:val="lowerRoman"/>
      <w:lvlText w:val="(%3)"/>
      <w:lvlJc w:val="left"/>
      <w:pPr>
        <w:tabs>
          <w:tab w:val="num" w:pos="2552"/>
        </w:tabs>
        <w:ind w:left="2553"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3">
      <w:start w:val="27"/>
      <w:numFmt w:val="lowerLetter"/>
      <w:lvlText w:val="(%4)"/>
      <w:lvlJc w:val="left"/>
      <w:pPr>
        <w:tabs>
          <w:tab w:val="num" w:pos="3403"/>
        </w:tabs>
        <w:ind w:left="3404"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4">
      <w:start w:val="1"/>
      <w:numFmt w:val="none"/>
      <w:lvlText w:val=""/>
      <w:lvlJc w:val="left"/>
      <w:pPr>
        <w:tabs>
          <w:tab w:val="num" w:pos="4254"/>
        </w:tabs>
        <w:ind w:left="4255"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5">
      <w:start w:val="1"/>
      <w:numFmt w:val="none"/>
      <w:lvlText w:val=""/>
      <w:lvlJc w:val="left"/>
      <w:pPr>
        <w:tabs>
          <w:tab w:val="num" w:pos="5105"/>
        </w:tabs>
        <w:ind w:left="5106"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6">
      <w:start w:val="1"/>
      <w:numFmt w:val="none"/>
      <w:lvlText w:val=""/>
      <w:lvlJc w:val="left"/>
      <w:pPr>
        <w:tabs>
          <w:tab w:val="num" w:pos="5956"/>
        </w:tabs>
        <w:ind w:left="5957"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7">
      <w:start w:val="1"/>
      <w:numFmt w:val="none"/>
      <w:lvlText w:val=""/>
      <w:lvlJc w:val="left"/>
      <w:pPr>
        <w:tabs>
          <w:tab w:val="num" w:pos="6807"/>
        </w:tabs>
        <w:ind w:left="6808"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8">
      <w:start w:val="1"/>
      <w:numFmt w:val="none"/>
      <w:lvlText w:val=""/>
      <w:lvlJc w:val="left"/>
      <w:pPr>
        <w:tabs>
          <w:tab w:val="num" w:pos="7658"/>
        </w:tabs>
        <w:ind w:left="7659"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abstractNum>
  <w:abstractNum w:abstractNumId="4" w15:restartNumberingAfterBreak="0">
    <w:nsid w:val="626511EF"/>
    <w:multiLevelType w:val="singleLevel"/>
    <w:tmpl w:val="F938A0C8"/>
    <w:lvl w:ilvl="0">
      <w:start w:val="1"/>
      <w:numFmt w:val="bullet"/>
      <w:pStyle w:val="ListBullet"/>
      <w:lvlText w:val=""/>
      <w:lvlJc w:val="left"/>
      <w:pPr>
        <w:tabs>
          <w:tab w:val="num" w:pos="850"/>
        </w:tabs>
        <w:ind w:left="850" w:hanging="850"/>
      </w:pPr>
      <w:rPr>
        <w:rFonts w:ascii="Symbol" w:hAnsi="Symbol" w:hint="default"/>
      </w:rPr>
    </w:lvl>
  </w:abstractNum>
  <w:abstractNum w:abstractNumId="5" w15:restartNumberingAfterBreak="0">
    <w:nsid w:val="677C5F4A"/>
    <w:multiLevelType w:val="multilevel"/>
    <w:tmpl w:val="7E367BE8"/>
    <w:lvl w:ilvl="0">
      <w:start w:val="1"/>
      <w:numFmt w:val="decimal"/>
      <w:pStyle w:val="ListNumber"/>
      <w:lvlText w:val="%1"/>
      <w:lvlJc w:val="left"/>
      <w:pPr>
        <w:tabs>
          <w:tab w:val="num" w:pos="360"/>
        </w:tabs>
        <w:ind w:left="360" w:hanging="360"/>
      </w:pPr>
      <w:rPr>
        <w:rFonts w:hint="default"/>
        <w:b w:val="0"/>
        <w:i w:val="0"/>
        <w:color w:val="auto"/>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5A496E"/>
    <w:multiLevelType w:val="hybridMultilevel"/>
    <w:tmpl w:val="807A6AAE"/>
    <w:lvl w:ilvl="0" w:tplc="01B01084">
      <w:start w:val="58"/>
      <w:numFmt w:val="bullet"/>
      <w:lvlText w:val="-"/>
      <w:lvlJc w:val="left"/>
      <w:pPr>
        <w:ind w:left="1080" w:hanging="360"/>
      </w:pPr>
      <w:rPr>
        <w:rFonts w:ascii="Arial" w:eastAsia="Arial"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7" w15:restartNumberingAfterBreak="0">
    <w:nsid w:val="76544F96"/>
    <w:multiLevelType w:val="hybridMultilevel"/>
    <w:tmpl w:val="C1649D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79213419"/>
    <w:multiLevelType w:val="hybridMultilevel"/>
    <w:tmpl w:val="0D8E763C"/>
    <w:lvl w:ilvl="0" w:tplc="4A90D9D8">
      <w:start w:val="1"/>
      <w:numFmt w:val="bullet"/>
      <w:pStyle w:val="BULLET1"/>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5"/>
  </w:num>
  <w:num w:numId="4">
    <w:abstractNumId w:val="3"/>
  </w:num>
  <w:num w:numId="5">
    <w:abstractNumId w:val="8"/>
  </w:num>
  <w:num w:numId="6">
    <w:abstractNumId w:val="0"/>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7"/>
  </w:num>
  <w:num w:numId="15">
    <w:abstractNumId w:val="2"/>
  </w:num>
  <w:num w:numId="16">
    <w:abstractNumId w:val="6"/>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NZ" w:vendorID="64" w:dllVersion="131077" w:nlCheck="1" w:checkStyle="1"/>
  <w:activeWritingStyle w:appName="MSWord" w:lang="en-NZ"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attachedTemplate r:id="rId1"/>
  <w:defaultTabStop w:val="851"/>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53"/>
    <w:rsid w:val="00032189"/>
    <w:rsid w:val="000625D7"/>
    <w:rsid w:val="0008517B"/>
    <w:rsid w:val="00087975"/>
    <w:rsid w:val="000A20A0"/>
    <w:rsid w:val="000B0FF9"/>
    <w:rsid w:val="000B76D5"/>
    <w:rsid w:val="000D598B"/>
    <w:rsid w:val="0011358D"/>
    <w:rsid w:val="00130B53"/>
    <w:rsid w:val="00134A50"/>
    <w:rsid w:val="00135589"/>
    <w:rsid w:val="00136521"/>
    <w:rsid w:val="00141266"/>
    <w:rsid w:val="001B2323"/>
    <w:rsid w:val="001B3701"/>
    <w:rsid w:val="001B7005"/>
    <w:rsid w:val="001F114C"/>
    <w:rsid w:val="001F49FD"/>
    <w:rsid w:val="002206CE"/>
    <w:rsid w:val="00231595"/>
    <w:rsid w:val="002513C3"/>
    <w:rsid w:val="0028701B"/>
    <w:rsid w:val="0029505E"/>
    <w:rsid w:val="002A00C6"/>
    <w:rsid w:val="002B7F9D"/>
    <w:rsid w:val="002C5B7C"/>
    <w:rsid w:val="00387862"/>
    <w:rsid w:val="003D203C"/>
    <w:rsid w:val="003E11ED"/>
    <w:rsid w:val="00422603"/>
    <w:rsid w:val="00432800"/>
    <w:rsid w:val="00434E98"/>
    <w:rsid w:val="00483FD6"/>
    <w:rsid w:val="004878F4"/>
    <w:rsid w:val="004922F0"/>
    <w:rsid w:val="004C7252"/>
    <w:rsid w:val="004D7D2F"/>
    <w:rsid w:val="004F0737"/>
    <w:rsid w:val="004F16AD"/>
    <w:rsid w:val="00512C41"/>
    <w:rsid w:val="005145C0"/>
    <w:rsid w:val="005165CF"/>
    <w:rsid w:val="005B40E6"/>
    <w:rsid w:val="005B591D"/>
    <w:rsid w:val="005E4DE2"/>
    <w:rsid w:val="00606D53"/>
    <w:rsid w:val="0062751D"/>
    <w:rsid w:val="0066274D"/>
    <w:rsid w:val="00697014"/>
    <w:rsid w:val="006D474E"/>
    <w:rsid w:val="006F29C5"/>
    <w:rsid w:val="007337C6"/>
    <w:rsid w:val="00750B34"/>
    <w:rsid w:val="007519B0"/>
    <w:rsid w:val="00774C8D"/>
    <w:rsid w:val="00792995"/>
    <w:rsid w:val="007E0F4D"/>
    <w:rsid w:val="007E6C47"/>
    <w:rsid w:val="00832AC6"/>
    <w:rsid w:val="00834AFE"/>
    <w:rsid w:val="008453F3"/>
    <w:rsid w:val="0087653D"/>
    <w:rsid w:val="008B213C"/>
    <w:rsid w:val="008B2538"/>
    <w:rsid w:val="008E129C"/>
    <w:rsid w:val="008E44EA"/>
    <w:rsid w:val="009260D7"/>
    <w:rsid w:val="00975C60"/>
    <w:rsid w:val="009856C6"/>
    <w:rsid w:val="009C074E"/>
    <w:rsid w:val="009C594E"/>
    <w:rsid w:val="00A05718"/>
    <w:rsid w:val="00A135BC"/>
    <w:rsid w:val="00A227BE"/>
    <w:rsid w:val="00A82088"/>
    <w:rsid w:val="00A91DB8"/>
    <w:rsid w:val="00AC0731"/>
    <w:rsid w:val="00AE2A7E"/>
    <w:rsid w:val="00AE3E29"/>
    <w:rsid w:val="00B21D81"/>
    <w:rsid w:val="00B65A11"/>
    <w:rsid w:val="00B67484"/>
    <w:rsid w:val="00B71DD9"/>
    <w:rsid w:val="00B91DE8"/>
    <w:rsid w:val="00BA06D3"/>
    <w:rsid w:val="00BB067F"/>
    <w:rsid w:val="00BB60B3"/>
    <w:rsid w:val="00BD6308"/>
    <w:rsid w:val="00C04835"/>
    <w:rsid w:val="00C21EAD"/>
    <w:rsid w:val="00C2738F"/>
    <w:rsid w:val="00C70C80"/>
    <w:rsid w:val="00CA06D1"/>
    <w:rsid w:val="00CA389C"/>
    <w:rsid w:val="00CA4525"/>
    <w:rsid w:val="00CB3A9A"/>
    <w:rsid w:val="00CB3E37"/>
    <w:rsid w:val="00CD429D"/>
    <w:rsid w:val="00CD5F1E"/>
    <w:rsid w:val="00CE07AE"/>
    <w:rsid w:val="00CF25CE"/>
    <w:rsid w:val="00D46A07"/>
    <w:rsid w:val="00D46D1D"/>
    <w:rsid w:val="00D54430"/>
    <w:rsid w:val="00DC1950"/>
    <w:rsid w:val="00DC1BB9"/>
    <w:rsid w:val="00DC5CAD"/>
    <w:rsid w:val="00E365CF"/>
    <w:rsid w:val="00E5214A"/>
    <w:rsid w:val="00E549E9"/>
    <w:rsid w:val="00E55175"/>
    <w:rsid w:val="00E66A3E"/>
    <w:rsid w:val="00E70424"/>
    <w:rsid w:val="00E95050"/>
    <w:rsid w:val="00EB3935"/>
    <w:rsid w:val="00EE31B2"/>
    <w:rsid w:val="00EE3E01"/>
    <w:rsid w:val="00EF4C3A"/>
    <w:rsid w:val="00F25972"/>
    <w:rsid w:val="00F26144"/>
    <w:rsid w:val="00F4304F"/>
    <w:rsid w:val="00FA2538"/>
    <w:rsid w:val="00FA7C98"/>
    <w:rsid w:val="00FC647D"/>
    <w:rsid w:val="00FC6A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27DCD5-C5B5-4DAB-9BB7-E52CB5B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81"/>
    <w:pPr>
      <w:spacing w:line="260" w:lineRule="atLeast"/>
    </w:pPr>
    <w:rPr>
      <w:rFonts w:ascii="Arial" w:hAnsi="Arial" w:cs="Arial"/>
      <w:lang w:eastAsia="en-US"/>
    </w:rPr>
  </w:style>
  <w:style w:type="paragraph" w:styleId="Heading1">
    <w:name w:val="heading 1"/>
    <w:basedOn w:val="Normal"/>
    <w:link w:val="Heading1Char"/>
    <w:qFormat/>
    <w:rsid w:val="00422603"/>
    <w:pPr>
      <w:numPr>
        <w:numId w:val="2"/>
      </w:numPr>
      <w:spacing w:before="240"/>
      <w:outlineLvl w:val="0"/>
    </w:pPr>
    <w:rPr>
      <w:kern w:val="28"/>
    </w:rPr>
  </w:style>
  <w:style w:type="paragraph" w:styleId="Heading2">
    <w:name w:val="heading 2"/>
    <w:basedOn w:val="Normal"/>
    <w:qFormat/>
    <w:rsid w:val="00422603"/>
    <w:pPr>
      <w:numPr>
        <w:ilvl w:val="1"/>
        <w:numId w:val="2"/>
      </w:numPr>
      <w:spacing w:before="240"/>
      <w:outlineLvl w:val="1"/>
    </w:pPr>
  </w:style>
  <w:style w:type="paragraph" w:styleId="Heading3">
    <w:name w:val="heading 3"/>
    <w:basedOn w:val="Normal"/>
    <w:qFormat/>
    <w:rsid w:val="00422603"/>
    <w:pPr>
      <w:numPr>
        <w:ilvl w:val="2"/>
        <w:numId w:val="2"/>
      </w:numPr>
      <w:spacing w:before="240"/>
      <w:outlineLvl w:val="2"/>
    </w:pPr>
  </w:style>
  <w:style w:type="paragraph" w:styleId="Heading4">
    <w:name w:val="heading 4"/>
    <w:basedOn w:val="Normal"/>
    <w:qFormat/>
    <w:rsid w:val="00422603"/>
    <w:pPr>
      <w:numPr>
        <w:ilvl w:val="3"/>
        <w:numId w:val="2"/>
      </w:numPr>
      <w:spacing w:before="240"/>
      <w:outlineLvl w:val="3"/>
    </w:pPr>
  </w:style>
  <w:style w:type="paragraph" w:styleId="Heading5">
    <w:name w:val="heading 5"/>
    <w:basedOn w:val="Normal"/>
    <w:qFormat/>
    <w:rsid w:val="00FC6A8A"/>
    <w:pPr>
      <w:numPr>
        <w:ilvl w:val="4"/>
        <w:numId w:val="2"/>
      </w:numPr>
      <w:spacing w:before="240"/>
      <w:outlineLvl w:val="4"/>
    </w:pPr>
  </w:style>
  <w:style w:type="paragraph" w:styleId="Heading6">
    <w:name w:val="heading 6"/>
    <w:basedOn w:val="Normal"/>
    <w:qFormat/>
    <w:rsid w:val="00422603"/>
    <w:pPr>
      <w:numPr>
        <w:ilvl w:val="5"/>
        <w:numId w:val="2"/>
      </w:numPr>
      <w:spacing w:before="240"/>
      <w:outlineLvl w:val="5"/>
    </w:pPr>
  </w:style>
  <w:style w:type="paragraph" w:styleId="Heading7">
    <w:name w:val="heading 7"/>
    <w:basedOn w:val="Normal"/>
    <w:qFormat/>
    <w:rsid w:val="00422603"/>
    <w:pPr>
      <w:numPr>
        <w:ilvl w:val="6"/>
        <w:numId w:val="2"/>
      </w:numPr>
      <w:spacing w:before="240"/>
      <w:outlineLvl w:val="6"/>
    </w:pPr>
  </w:style>
  <w:style w:type="paragraph" w:styleId="Heading8">
    <w:name w:val="heading 8"/>
    <w:basedOn w:val="Normal"/>
    <w:qFormat/>
    <w:rsid w:val="00422603"/>
    <w:pPr>
      <w:numPr>
        <w:ilvl w:val="7"/>
        <w:numId w:val="2"/>
      </w:numPr>
      <w:spacing w:before="240"/>
      <w:outlineLvl w:val="7"/>
    </w:pPr>
  </w:style>
  <w:style w:type="paragraph" w:styleId="Heading9">
    <w:name w:val="heading 9"/>
    <w:basedOn w:val="Normal"/>
    <w:qFormat/>
    <w:rsid w:val="00422603"/>
    <w:pPr>
      <w:numPr>
        <w:ilvl w:val="8"/>
        <w:numId w:val="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FC6A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FC6A8A"/>
  </w:style>
  <w:style w:type="paragraph" w:styleId="Footer">
    <w:name w:val="footer"/>
    <w:semiHidden/>
    <w:rsid w:val="00FC6A8A"/>
    <w:rPr>
      <w:rFonts w:ascii="Arial" w:hAnsi="Arial"/>
      <w:noProof/>
      <w:spacing w:val="2"/>
      <w:kern w:val="26"/>
      <w:sz w:val="12"/>
      <w:lang w:val="en-US" w:eastAsia="en-US"/>
    </w:rPr>
  </w:style>
  <w:style w:type="paragraph" w:styleId="TOC1">
    <w:name w:val="toc 1"/>
    <w:basedOn w:val="Normal"/>
    <w:next w:val="Normal"/>
    <w:semiHidden/>
    <w:rsid w:val="00FC6A8A"/>
    <w:pPr>
      <w:tabs>
        <w:tab w:val="left" w:pos="851"/>
        <w:tab w:val="right" w:leader="dot" w:pos="9071"/>
      </w:tabs>
      <w:spacing w:before="120"/>
      <w:ind w:left="284" w:hanging="284"/>
    </w:pPr>
  </w:style>
  <w:style w:type="paragraph" w:styleId="TOC2">
    <w:name w:val="toc 2"/>
    <w:basedOn w:val="Normal"/>
    <w:next w:val="Normal"/>
    <w:semiHidden/>
    <w:rsid w:val="00FC6A8A"/>
    <w:pPr>
      <w:tabs>
        <w:tab w:val="left" w:pos="1701"/>
        <w:tab w:val="right" w:leader="dot" w:pos="9071"/>
      </w:tabs>
      <w:ind w:left="851"/>
    </w:pPr>
    <w:rPr>
      <w:noProof/>
    </w:rPr>
  </w:style>
  <w:style w:type="paragraph" w:styleId="TOC3">
    <w:name w:val="toc 3"/>
    <w:basedOn w:val="Normal"/>
    <w:next w:val="Normal"/>
    <w:semiHidden/>
    <w:rsid w:val="00FC6A8A"/>
    <w:pPr>
      <w:tabs>
        <w:tab w:val="right" w:leader="dot" w:pos="9071"/>
      </w:tabs>
      <w:ind w:left="400"/>
    </w:pPr>
  </w:style>
  <w:style w:type="paragraph" w:styleId="TOC4">
    <w:name w:val="toc 4"/>
    <w:basedOn w:val="Normal"/>
    <w:next w:val="Normal"/>
    <w:semiHidden/>
    <w:rsid w:val="00FC6A8A"/>
    <w:pPr>
      <w:tabs>
        <w:tab w:val="right" w:leader="dot" w:pos="9071"/>
      </w:tabs>
      <w:ind w:left="600"/>
    </w:pPr>
  </w:style>
  <w:style w:type="paragraph" w:styleId="TOC5">
    <w:name w:val="toc 5"/>
    <w:basedOn w:val="Normal"/>
    <w:next w:val="Normal"/>
    <w:semiHidden/>
    <w:rsid w:val="00FC6A8A"/>
    <w:pPr>
      <w:tabs>
        <w:tab w:val="right" w:leader="dot" w:pos="9071"/>
      </w:tabs>
      <w:ind w:left="800"/>
    </w:pPr>
  </w:style>
  <w:style w:type="paragraph" w:styleId="TOC6">
    <w:name w:val="toc 6"/>
    <w:basedOn w:val="Normal"/>
    <w:next w:val="Normal"/>
    <w:semiHidden/>
    <w:rsid w:val="00FC6A8A"/>
    <w:pPr>
      <w:tabs>
        <w:tab w:val="right" w:leader="dot" w:pos="9071"/>
      </w:tabs>
      <w:ind w:left="1000"/>
    </w:pPr>
  </w:style>
  <w:style w:type="paragraph" w:styleId="TOC7">
    <w:name w:val="toc 7"/>
    <w:basedOn w:val="Normal"/>
    <w:next w:val="Normal"/>
    <w:semiHidden/>
    <w:rsid w:val="00FC6A8A"/>
    <w:pPr>
      <w:tabs>
        <w:tab w:val="right" w:leader="dot" w:pos="9071"/>
      </w:tabs>
      <w:ind w:left="1200"/>
    </w:pPr>
  </w:style>
  <w:style w:type="paragraph" w:styleId="TOC8">
    <w:name w:val="toc 8"/>
    <w:basedOn w:val="Normal"/>
    <w:next w:val="Normal"/>
    <w:semiHidden/>
    <w:rsid w:val="00FC6A8A"/>
    <w:pPr>
      <w:tabs>
        <w:tab w:val="right" w:leader="dot" w:pos="9071"/>
      </w:tabs>
      <w:ind w:left="1400"/>
    </w:pPr>
  </w:style>
  <w:style w:type="paragraph" w:styleId="TOC9">
    <w:name w:val="toc 9"/>
    <w:basedOn w:val="Normal"/>
    <w:next w:val="Normal"/>
    <w:semiHidden/>
    <w:rsid w:val="00FC6A8A"/>
    <w:pPr>
      <w:tabs>
        <w:tab w:val="right" w:leader="dot" w:pos="9071"/>
      </w:tabs>
      <w:ind w:left="1600"/>
    </w:pPr>
  </w:style>
  <w:style w:type="paragraph" w:styleId="TOAHeading">
    <w:name w:val="toa heading"/>
    <w:basedOn w:val="Normal"/>
    <w:next w:val="Normal"/>
    <w:semiHidden/>
    <w:rsid w:val="00FC6A8A"/>
    <w:pPr>
      <w:spacing w:after="280"/>
      <w:jc w:val="center"/>
    </w:pPr>
    <w:rPr>
      <w:b/>
      <w:caps/>
      <w:sz w:val="24"/>
    </w:rPr>
  </w:style>
  <w:style w:type="paragraph" w:customStyle="1" w:styleId="Numberedindent">
    <w:name w:val="Numbered indent"/>
    <w:basedOn w:val="Normal"/>
    <w:next w:val="Normal"/>
    <w:rsid w:val="00FC6A8A"/>
    <w:pPr>
      <w:ind w:left="851" w:hanging="851"/>
    </w:pPr>
  </w:style>
  <w:style w:type="paragraph" w:styleId="Caption">
    <w:name w:val="caption"/>
    <w:basedOn w:val="Normal"/>
    <w:next w:val="Normal"/>
    <w:qFormat/>
    <w:rsid w:val="00FC6A8A"/>
    <w:pPr>
      <w:spacing w:before="120" w:after="120"/>
    </w:pPr>
    <w:rPr>
      <w:i/>
      <w:sz w:val="19"/>
    </w:rPr>
  </w:style>
  <w:style w:type="paragraph" w:styleId="FootnoteText">
    <w:name w:val="footnote text"/>
    <w:basedOn w:val="Normal"/>
    <w:semiHidden/>
    <w:rsid w:val="001F114C"/>
    <w:pPr>
      <w:spacing w:line="240" w:lineRule="auto"/>
    </w:pPr>
    <w:rPr>
      <w:sz w:val="16"/>
    </w:rPr>
  </w:style>
  <w:style w:type="character" w:styleId="FootnoteReference">
    <w:name w:val="footnote reference"/>
    <w:basedOn w:val="DefaultParagraphFont"/>
    <w:semiHidden/>
    <w:rsid w:val="008E129C"/>
    <w:rPr>
      <w:rFonts w:ascii="Arial" w:hAnsi="Arial"/>
      <w:b w:val="0"/>
      <w:i w:val="0"/>
      <w:color w:val="auto"/>
      <w:sz w:val="20"/>
      <w:u w:val="none"/>
      <w:vertAlign w:val="superscript"/>
    </w:rPr>
  </w:style>
  <w:style w:type="paragraph" w:styleId="Quote">
    <w:name w:val="Quote"/>
    <w:basedOn w:val="Normal"/>
    <w:qFormat/>
    <w:rsid w:val="00434E98"/>
    <w:pPr>
      <w:spacing w:before="240"/>
      <w:ind w:left="1701" w:right="986"/>
    </w:pPr>
    <w:rPr>
      <w:sz w:val="18"/>
    </w:rPr>
  </w:style>
  <w:style w:type="paragraph" w:styleId="TableofAuthorities">
    <w:name w:val="table of authorities"/>
    <w:basedOn w:val="Normal"/>
    <w:next w:val="Normal"/>
    <w:semiHidden/>
    <w:rsid w:val="00FC6A8A"/>
    <w:pPr>
      <w:tabs>
        <w:tab w:val="right" w:leader="dot" w:pos="9071"/>
      </w:tabs>
      <w:ind w:left="210" w:hanging="210"/>
    </w:pPr>
    <w:rPr>
      <w:sz w:val="18"/>
    </w:rPr>
  </w:style>
  <w:style w:type="character" w:styleId="PageNumber">
    <w:name w:val="page number"/>
    <w:basedOn w:val="DefaultParagraphFont"/>
    <w:semiHidden/>
    <w:rsid w:val="00FC6A8A"/>
  </w:style>
  <w:style w:type="paragraph" w:styleId="CommentText">
    <w:name w:val="annotation text"/>
    <w:basedOn w:val="Normal"/>
    <w:link w:val="CommentTextChar"/>
    <w:semiHidden/>
    <w:rsid w:val="00FC6A8A"/>
    <w:pPr>
      <w:ind w:left="851" w:hanging="851"/>
    </w:pPr>
    <w:rPr>
      <w:sz w:val="19"/>
    </w:rPr>
  </w:style>
  <w:style w:type="paragraph" w:styleId="EndnoteText">
    <w:name w:val="endnote text"/>
    <w:basedOn w:val="Normal"/>
    <w:semiHidden/>
    <w:rsid w:val="00B21D81"/>
    <w:pPr>
      <w:spacing w:line="240" w:lineRule="auto"/>
    </w:pPr>
    <w:rPr>
      <w:sz w:val="16"/>
    </w:rPr>
  </w:style>
  <w:style w:type="paragraph" w:styleId="EnvelopeAddress">
    <w:name w:val="envelope address"/>
    <w:basedOn w:val="Normal"/>
    <w:semiHidden/>
    <w:rsid w:val="00FC6A8A"/>
    <w:pPr>
      <w:framePr w:w="5040" w:h="1980" w:hRule="exact" w:hSpace="180" w:wrap="auto" w:vAnchor="page" w:hAnchor="page" w:x="4184" w:y="2593"/>
    </w:pPr>
    <w:rPr>
      <w:noProof/>
    </w:rPr>
  </w:style>
  <w:style w:type="paragraph" w:styleId="EnvelopeReturn">
    <w:name w:val="envelope return"/>
    <w:basedOn w:val="Normal"/>
    <w:semiHidden/>
    <w:rsid w:val="00FC6A8A"/>
  </w:style>
  <w:style w:type="paragraph" w:styleId="Index1">
    <w:name w:val="index 1"/>
    <w:basedOn w:val="Normal"/>
    <w:next w:val="Normal"/>
    <w:semiHidden/>
    <w:rsid w:val="00FC6A8A"/>
    <w:pPr>
      <w:tabs>
        <w:tab w:val="right" w:leader="dot" w:pos="9071"/>
      </w:tabs>
      <w:ind w:left="210" w:hanging="210"/>
    </w:pPr>
  </w:style>
  <w:style w:type="paragraph" w:styleId="IndexHeading">
    <w:name w:val="index heading"/>
    <w:basedOn w:val="Normal"/>
    <w:next w:val="Index1"/>
    <w:semiHidden/>
    <w:rsid w:val="00FC6A8A"/>
    <w:pPr>
      <w:spacing w:after="240"/>
      <w:jc w:val="center"/>
    </w:pPr>
    <w:rPr>
      <w:b/>
    </w:rPr>
  </w:style>
  <w:style w:type="paragraph" w:styleId="MessageHeader">
    <w:name w:val="Message Header"/>
    <w:basedOn w:val="Normal"/>
    <w:semiHidden/>
    <w:rsid w:val="00FC6A8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FC6A8A"/>
    <w:pPr>
      <w:ind w:left="851"/>
    </w:pPr>
  </w:style>
  <w:style w:type="paragraph" w:styleId="Signature">
    <w:name w:val="Signature"/>
    <w:basedOn w:val="Normal"/>
    <w:semiHidden/>
    <w:rsid w:val="00FC6A8A"/>
  </w:style>
  <w:style w:type="paragraph" w:styleId="Subtitle">
    <w:name w:val="Subtitle"/>
    <w:basedOn w:val="Normal"/>
    <w:qFormat/>
    <w:rsid w:val="00FC6A8A"/>
    <w:rPr>
      <w:sz w:val="24"/>
    </w:rPr>
  </w:style>
  <w:style w:type="paragraph" w:styleId="Title">
    <w:name w:val="Title"/>
    <w:basedOn w:val="Normal"/>
    <w:qFormat/>
    <w:rsid w:val="00FC6A8A"/>
    <w:pPr>
      <w:spacing w:before="240" w:after="360"/>
      <w:jc w:val="center"/>
    </w:pPr>
    <w:rPr>
      <w:b/>
      <w:caps/>
      <w:kern w:val="28"/>
      <w:sz w:val="32"/>
    </w:rPr>
  </w:style>
  <w:style w:type="paragraph" w:customStyle="1" w:styleId="Subject">
    <w:name w:val="Subject"/>
    <w:basedOn w:val="Normal"/>
    <w:next w:val="Normal"/>
    <w:rsid w:val="00FC6A8A"/>
    <w:rPr>
      <w:b/>
    </w:rPr>
  </w:style>
  <w:style w:type="paragraph" w:customStyle="1" w:styleId="NumberedLine1">
    <w:name w:val="Numbered Line 1"/>
    <w:basedOn w:val="Normal"/>
    <w:next w:val="Normal"/>
    <w:rsid w:val="00FC6A8A"/>
    <w:pPr>
      <w:tabs>
        <w:tab w:val="left" w:pos="851"/>
      </w:tabs>
      <w:ind w:left="1702" w:hanging="1702"/>
    </w:pPr>
  </w:style>
  <w:style w:type="paragraph" w:customStyle="1" w:styleId="NumberedLine2">
    <w:name w:val="Numbered Line 2"/>
    <w:basedOn w:val="NumberedLine1"/>
    <w:next w:val="Normal"/>
    <w:rsid w:val="00FC6A8A"/>
    <w:pPr>
      <w:tabs>
        <w:tab w:val="left" w:pos="1701"/>
      </w:tabs>
      <w:ind w:left="2553" w:hanging="2553"/>
    </w:pPr>
  </w:style>
  <w:style w:type="paragraph" w:customStyle="1" w:styleId="Subheading">
    <w:name w:val="Sub heading"/>
    <w:basedOn w:val="Normal"/>
    <w:next w:val="Normal"/>
    <w:link w:val="SubheadingChar"/>
    <w:rsid w:val="00434E98"/>
    <w:pPr>
      <w:keepNext/>
      <w:spacing w:before="240"/>
      <w:ind w:left="850"/>
    </w:pPr>
    <w:rPr>
      <w:b/>
    </w:rPr>
  </w:style>
  <w:style w:type="paragraph" w:styleId="ListBullet">
    <w:name w:val="List Bullet"/>
    <w:basedOn w:val="Normal"/>
    <w:semiHidden/>
    <w:rsid w:val="00FC6A8A"/>
    <w:pPr>
      <w:numPr>
        <w:numId w:val="1"/>
      </w:numPr>
    </w:pPr>
  </w:style>
  <w:style w:type="paragraph" w:customStyle="1" w:styleId="Schedule">
    <w:name w:val="Schedule"/>
    <w:basedOn w:val="Normal"/>
    <w:next w:val="Normal"/>
    <w:rsid w:val="00FC6A8A"/>
    <w:pPr>
      <w:jc w:val="center"/>
    </w:pPr>
    <w:rPr>
      <w:b/>
      <w:caps/>
    </w:rPr>
  </w:style>
  <w:style w:type="paragraph" w:customStyle="1" w:styleId="ScheduleName">
    <w:name w:val="Schedule Name"/>
    <w:basedOn w:val="Normal"/>
    <w:next w:val="Normal"/>
    <w:rsid w:val="00FC6A8A"/>
    <w:pPr>
      <w:jc w:val="center"/>
    </w:pPr>
    <w:rPr>
      <w:b/>
    </w:rPr>
  </w:style>
  <w:style w:type="paragraph" w:customStyle="1" w:styleId="Execution">
    <w:name w:val="Execution"/>
    <w:basedOn w:val="Normal"/>
    <w:next w:val="Normal"/>
    <w:rsid w:val="00FC6A8A"/>
    <w:rPr>
      <w:b/>
      <w:caps/>
    </w:rPr>
  </w:style>
  <w:style w:type="paragraph" w:customStyle="1" w:styleId="Footer6pt">
    <w:name w:val="Footer 6pt"/>
    <w:basedOn w:val="Normal"/>
    <w:autoRedefine/>
    <w:qFormat/>
    <w:rsid w:val="00134A50"/>
    <w:pPr>
      <w:spacing w:line="240" w:lineRule="auto"/>
    </w:pPr>
    <w:rPr>
      <w:sz w:val="12"/>
    </w:rPr>
  </w:style>
  <w:style w:type="paragraph" w:styleId="NoSpacing">
    <w:name w:val="No Spacing"/>
    <w:uiPriority w:val="1"/>
    <w:qFormat/>
    <w:rsid w:val="00422603"/>
    <w:pPr>
      <w:jc w:val="both"/>
    </w:pPr>
    <w:rPr>
      <w:rFonts w:ascii="Arial" w:hAnsi="Arial"/>
      <w:lang w:eastAsia="en-US"/>
    </w:rPr>
  </w:style>
  <w:style w:type="character" w:styleId="SubtleEmphasis">
    <w:name w:val="Subtle Emphasis"/>
    <w:basedOn w:val="DefaultParagraphFont"/>
    <w:uiPriority w:val="19"/>
    <w:qFormat/>
    <w:rsid w:val="00422603"/>
    <w:rPr>
      <w:i/>
      <w:iCs/>
      <w:color w:val="404040" w:themeColor="text1" w:themeTint="BF"/>
    </w:rPr>
  </w:style>
  <w:style w:type="character" w:styleId="Emphasis">
    <w:name w:val="Emphasis"/>
    <w:basedOn w:val="DefaultParagraphFont"/>
    <w:uiPriority w:val="20"/>
    <w:qFormat/>
    <w:rsid w:val="00422603"/>
    <w:rPr>
      <w:i/>
      <w:iCs/>
    </w:rPr>
  </w:style>
  <w:style w:type="character" w:styleId="IntenseEmphasis">
    <w:name w:val="Intense Emphasis"/>
    <w:basedOn w:val="DefaultParagraphFont"/>
    <w:uiPriority w:val="21"/>
    <w:qFormat/>
    <w:rsid w:val="00422603"/>
    <w:rPr>
      <w:i/>
      <w:iCs/>
      <w:color w:val="4F81BD" w:themeColor="accent1"/>
    </w:rPr>
  </w:style>
  <w:style w:type="character" w:styleId="Strong">
    <w:name w:val="Strong"/>
    <w:basedOn w:val="DefaultParagraphFont"/>
    <w:uiPriority w:val="22"/>
    <w:qFormat/>
    <w:rsid w:val="00422603"/>
    <w:rPr>
      <w:b/>
      <w:bCs/>
    </w:rPr>
  </w:style>
  <w:style w:type="paragraph" w:styleId="IntenseQuote">
    <w:name w:val="Intense Quote"/>
    <w:basedOn w:val="Normal"/>
    <w:next w:val="Normal"/>
    <w:link w:val="IntenseQuoteChar"/>
    <w:uiPriority w:val="30"/>
    <w:qFormat/>
    <w:rsid w:val="004226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603"/>
    <w:rPr>
      <w:rFonts w:ascii="Arial" w:hAnsi="Arial"/>
      <w:i/>
      <w:iCs/>
      <w:color w:val="4F81BD" w:themeColor="accent1"/>
      <w:lang w:eastAsia="en-US"/>
    </w:rPr>
  </w:style>
  <w:style w:type="character" w:styleId="SubtleReference">
    <w:name w:val="Subtle Reference"/>
    <w:basedOn w:val="DefaultParagraphFont"/>
    <w:uiPriority w:val="31"/>
    <w:qFormat/>
    <w:rsid w:val="00422603"/>
    <w:rPr>
      <w:smallCaps/>
      <w:color w:val="5A5A5A" w:themeColor="text1" w:themeTint="A5"/>
    </w:rPr>
  </w:style>
  <w:style w:type="character" w:styleId="IntenseReference">
    <w:name w:val="Intense Reference"/>
    <w:basedOn w:val="DefaultParagraphFont"/>
    <w:uiPriority w:val="32"/>
    <w:qFormat/>
    <w:rsid w:val="00422603"/>
    <w:rPr>
      <w:b/>
      <w:bCs/>
      <w:smallCaps/>
      <w:color w:val="4F81BD" w:themeColor="accent1"/>
      <w:spacing w:val="5"/>
    </w:rPr>
  </w:style>
  <w:style w:type="character" w:styleId="BookTitle">
    <w:name w:val="Book Title"/>
    <w:basedOn w:val="DefaultParagraphFont"/>
    <w:uiPriority w:val="33"/>
    <w:qFormat/>
    <w:rsid w:val="00422603"/>
    <w:rPr>
      <w:b/>
      <w:bCs/>
      <w:i/>
      <w:iCs/>
      <w:spacing w:val="5"/>
    </w:rPr>
  </w:style>
  <w:style w:type="paragraph" w:styleId="ListParagraph">
    <w:name w:val="List Paragraph"/>
    <w:basedOn w:val="Normal"/>
    <w:uiPriority w:val="34"/>
    <w:qFormat/>
    <w:rsid w:val="00422603"/>
    <w:pPr>
      <w:ind w:left="720"/>
      <w:contextualSpacing/>
    </w:pPr>
  </w:style>
  <w:style w:type="character" w:styleId="EndnoteReference">
    <w:name w:val="endnote reference"/>
    <w:basedOn w:val="DefaultParagraphFont"/>
    <w:uiPriority w:val="99"/>
    <w:semiHidden/>
    <w:unhideWhenUsed/>
    <w:rsid w:val="00B21D81"/>
    <w:rPr>
      <w:rFonts w:ascii="Arial" w:hAnsi="Arial"/>
      <w:sz w:val="20"/>
      <w:vertAlign w:val="superscript"/>
    </w:rPr>
  </w:style>
  <w:style w:type="paragraph" w:styleId="ListNumber">
    <w:name w:val="List Number"/>
    <w:basedOn w:val="Normal"/>
    <w:semiHidden/>
    <w:rsid w:val="00606D53"/>
    <w:pPr>
      <w:numPr>
        <w:numId w:val="3"/>
      </w:numPr>
      <w:spacing w:line="240" w:lineRule="auto"/>
    </w:pPr>
    <w:rPr>
      <w:rFonts w:ascii="Times New Roman" w:eastAsiaTheme="minorHAnsi" w:hAnsi="Times New Roman" w:cs="Times New Roman"/>
      <w:sz w:val="24"/>
      <w:szCs w:val="24"/>
      <w:lang w:eastAsia="en-NZ"/>
    </w:rPr>
  </w:style>
  <w:style w:type="paragraph" w:customStyle="1" w:styleId="Style1">
    <w:name w:val="Style1"/>
    <w:basedOn w:val="Subheading"/>
    <w:link w:val="Style1Char"/>
    <w:qFormat/>
    <w:rsid w:val="006D474E"/>
    <w:pPr>
      <w:ind w:left="0"/>
    </w:pPr>
    <w:rPr>
      <w:color w:val="808080" w:themeColor="background1" w:themeShade="80"/>
      <w:sz w:val="28"/>
      <w:szCs w:val="28"/>
    </w:rPr>
  </w:style>
  <w:style w:type="paragraph" w:customStyle="1" w:styleId="Style2">
    <w:name w:val="Style2"/>
    <w:basedOn w:val="Heading1"/>
    <w:link w:val="Style2Char"/>
    <w:qFormat/>
    <w:rsid w:val="006D474E"/>
    <w:pPr>
      <w:spacing w:line="240" w:lineRule="auto"/>
    </w:pPr>
    <w:rPr>
      <w:sz w:val="22"/>
      <w:szCs w:val="22"/>
    </w:rPr>
  </w:style>
  <w:style w:type="character" w:customStyle="1" w:styleId="SubheadingChar">
    <w:name w:val="Sub heading Char"/>
    <w:basedOn w:val="DefaultParagraphFont"/>
    <w:link w:val="Subheading"/>
    <w:rsid w:val="006D474E"/>
    <w:rPr>
      <w:rFonts w:ascii="Arial" w:hAnsi="Arial" w:cs="Arial"/>
      <w:b/>
      <w:lang w:eastAsia="en-US"/>
    </w:rPr>
  </w:style>
  <w:style w:type="character" w:customStyle="1" w:styleId="Style1Char">
    <w:name w:val="Style1 Char"/>
    <w:basedOn w:val="SubheadingChar"/>
    <w:link w:val="Style1"/>
    <w:rsid w:val="006D474E"/>
    <w:rPr>
      <w:rFonts w:ascii="Arial" w:hAnsi="Arial" w:cs="Arial"/>
      <w:b/>
      <w:color w:val="808080" w:themeColor="background1" w:themeShade="80"/>
      <w:sz w:val="28"/>
      <w:szCs w:val="28"/>
      <w:lang w:eastAsia="en-US"/>
    </w:rPr>
  </w:style>
  <w:style w:type="paragraph" w:customStyle="1" w:styleId="Style3">
    <w:name w:val="Style3"/>
    <w:basedOn w:val="Style2"/>
    <w:link w:val="Style3Char"/>
    <w:qFormat/>
    <w:rsid w:val="008E44EA"/>
    <w:pPr>
      <w:numPr>
        <w:numId w:val="4"/>
      </w:numPr>
      <w:tabs>
        <w:tab w:val="clear" w:pos="850"/>
        <w:tab w:val="num" w:pos="1701"/>
      </w:tabs>
      <w:ind w:left="1702"/>
    </w:pPr>
  </w:style>
  <w:style w:type="character" w:customStyle="1" w:styleId="Heading1Char">
    <w:name w:val="Heading 1 Char"/>
    <w:basedOn w:val="DefaultParagraphFont"/>
    <w:link w:val="Heading1"/>
    <w:rsid w:val="006D474E"/>
    <w:rPr>
      <w:rFonts w:ascii="Arial" w:hAnsi="Arial" w:cs="Arial"/>
      <w:kern w:val="28"/>
      <w:lang w:eastAsia="en-US"/>
    </w:rPr>
  </w:style>
  <w:style w:type="character" w:customStyle="1" w:styleId="Style2Char">
    <w:name w:val="Style2 Char"/>
    <w:basedOn w:val="Heading1Char"/>
    <w:link w:val="Style2"/>
    <w:rsid w:val="006D474E"/>
    <w:rPr>
      <w:rFonts w:ascii="Arial" w:hAnsi="Arial" w:cs="Arial"/>
      <w:kern w:val="28"/>
      <w:sz w:val="22"/>
      <w:szCs w:val="22"/>
      <w:lang w:eastAsia="en-US"/>
    </w:rPr>
  </w:style>
  <w:style w:type="character" w:customStyle="1" w:styleId="Style3Char">
    <w:name w:val="Style3 Char"/>
    <w:basedOn w:val="Style2Char"/>
    <w:link w:val="Style3"/>
    <w:rsid w:val="008E44EA"/>
    <w:rPr>
      <w:rFonts w:ascii="Arial" w:hAnsi="Arial" w:cs="Arial"/>
      <w:kern w:val="28"/>
      <w:sz w:val="22"/>
      <w:szCs w:val="22"/>
      <w:lang w:eastAsia="en-US"/>
    </w:rPr>
  </w:style>
  <w:style w:type="paragraph" w:customStyle="1" w:styleId="BULLET1">
    <w:name w:val="BULLET 1"/>
    <w:basedOn w:val="Normal"/>
    <w:rsid w:val="00A227BE"/>
    <w:pPr>
      <w:numPr>
        <w:numId w:val="5"/>
      </w:numPr>
      <w:spacing w:line="300" w:lineRule="atLeast"/>
      <w:jc w:val="both"/>
    </w:pPr>
    <w:rPr>
      <w:rFonts w:eastAsiaTheme="minorHAnsi"/>
      <w:sz w:val="24"/>
      <w:szCs w:val="24"/>
      <w:lang w:eastAsia="en-NZ"/>
    </w:rPr>
  </w:style>
  <w:style w:type="paragraph" w:customStyle="1" w:styleId="Style4">
    <w:name w:val="Style4"/>
    <w:basedOn w:val="Style3"/>
    <w:link w:val="Style4Char"/>
    <w:qFormat/>
    <w:rsid w:val="00832AC6"/>
    <w:pPr>
      <w:spacing w:before="120"/>
      <w:ind w:left="1418" w:hanging="567"/>
    </w:pPr>
  </w:style>
  <w:style w:type="character" w:styleId="Hyperlink">
    <w:name w:val="Hyperlink"/>
    <w:basedOn w:val="DefaultParagraphFont"/>
    <w:uiPriority w:val="99"/>
    <w:rsid w:val="0062751D"/>
    <w:rPr>
      <w:rFonts w:ascii="Garamond" w:eastAsia="Times New Roman" w:hAnsi="Garamond" w:cs="Times New Roman"/>
      <w:color w:val="013799"/>
      <w:sz w:val="18"/>
      <w:szCs w:val="20"/>
      <w:u w:val="none"/>
    </w:rPr>
  </w:style>
  <w:style w:type="character" w:customStyle="1" w:styleId="Style4Char">
    <w:name w:val="Style4 Char"/>
    <w:basedOn w:val="Style3Char"/>
    <w:link w:val="Style4"/>
    <w:rsid w:val="00832AC6"/>
    <w:rPr>
      <w:rFonts w:ascii="Arial" w:hAnsi="Arial" w:cs="Arial"/>
      <w:kern w:val="28"/>
      <w:sz w:val="22"/>
      <w:szCs w:val="22"/>
      <w:lang w:eastAsia="en-US"/>
    </w:rPr>
  </w:style>
  <w:style w:type="paragraph" w:customStyle="1" w:styleId="4normalParagraph">
    <w:name w:val="4. normal Paragraph"/>
    <w:basedOn w:val="ListParagraph"/>
    <w:link w:val="4ParagraphChar"/>
    <w:qFormat/>
    <w:rsid w:val="0062751D"/>
    <w:pPr>
      <w:numPr>
        <w:numId w:val="7"/>
      </w:numPr>
      <w:spacing w:before="240" w:after="240" w:line="240" w:lineRule="auto"/>
    </w:pPr>
    <w:rPr>
      <w:rFonts w:eastAsiaTheme="minorHAnsi"/>
      <w:sz w:val="24"/>
      <w:szCs w:val="24"/>
      <w:lang w:eastAsia="en-NZ"/>
    </w:rPr>
  </w:style>
  <w:style w:type="character" w:customStyle="1" w:styleId="4ParagraphChar">
    <w:name w:val="4. Paragraph Char"/>
    <w:basedOn w:val="DefaultParagraphFont"/>
    <w:link w:val="4normalParagraph"/>
    <w:rsid w:val="0062751D"/>
    <w:rPr>
      <w:rFonts w:ascii="Arial" w:eastAsiaTheme="minorHAnsi" w:hAnsi="Arial" w:cs="Arial"/>
      <w:sz w:val="24"/>
      <w:szCs w:val="24"/>
    </w:rPr>
  </w:style>
  <w:style w:type="paragraph" w:styleId="BalloonText">
    <w:name w:val="Balloon Text"/>
    <w:basedOn w:val="Normal"/>
    <w:link w:val="BalloonTextChar"/>
    <w:uiPriority w:val="99"/>
    <w:semiHidden/>
    <w:unhideWhenUsed/>
    <w:rsid w:val="001135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8D"/>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D203C"/>
    <w:rPr>
      <w:sz w:val="16"/>
      <w:szCs w:val="16"/>
    </w:rPr>
  </w:style>
  <w:style w:type="character" w:customStyle="1" w:styleId="CommentTextChar">
    <w:name w:val="Comment Text Char"/>
    <w:basedOn w:val="DefaultParagraphFont"/>
    <w:link w:val="CommentText"/>
    <w:semiHidden/>
    <w:rsid w:val="003D203C"/>
    <w:rPr>
      <w:rFonts w:ascii="Arial" w:hAnsi="Arial" w:cs="Arial"/>
      <w:sz w:val="19"/>
      <w:lang w:eastAsia="en-US"/>
    </w:rPr>
  </w:style>
  <w:style w:type="paragraph" w:styleId="CommentSubject">
    <w:name w:val="annotation subject"/>
    <w:basedOn w:val="CommentText"/>
    <w:next w:val="CommentText"/>
    <w:link w:val="CommentSubjectChar"/>
    <w:uiPriority w:val="99"/>
    <w:semiHidden/>
    <w:unhideWhenUsed/>
    <w:rsid w:val="003D203C"/>
    <w:pPr>
      <w:spacing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3D203C"/>
    <w:rPr>
      <w:rFonts w:ascii="Arial" w:hAnsi="Arial" w:cs="Arial"/>
      <w:b/>
      <w:bC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4525">
      <w:bodyDiv w:val="1"/>
      <w:marLeft w:val="0"/>
      <w:marRight w:val="0"/>
      <w:marTop w:val="0"/>
      <w:marBottom w:val="0"/>
      <w:divBdr>
        <w:top w:val="none" w:sz="0" w:space="0" w:color="auto"/>
        <w:left w:val="none" w:sz="0" w:space="0" w:color="auto"/>
        <w:bottom w:val="none" w:sz="0" w:space="0" w:color="auto"/>
        <w:right w:val="none" w:sz="0" w:space="0" w:color="auto"/>
      </w:divBdr>
    </w:div>
    <w:div w:id="397939537">
      <w:bodyDiv w:val="1"/>
      <w:marLeft w:val="0"/>
      <w:marRight w:val="0"/>
      <w:marTop w:val="0"/>
      <w:marBottom w:val="0"/>
      <w:divBdr>
        <w:top w:val="none" w:sz="0" w:space="0" w:color="auto"/>
        <w:left w:val="none" w:sz="0" w:space="0" w:color="auto"/>
        <w:bottom w:val="none" w:sz="0" w:space="0" w:color="auto"/>
        <w:right w:val="none" w:sz="0" w:space="0" w:color="auto"/>
      </w:divBdr>
    </w:div>
    <w:div w:id="950405564">
      <w:bodyDiv w:val="1"/>
      <w:marLeft w:val="0"/>
      <w:marRight w:val="0"/>
      <w:marTop w:val="0"/>
      <w:marBottom w:val="0"/>
      <w:divBdr>
        <w:top w:val="none" w:sz="0" w:space="0" w:color="auto"/>
        <w:left w:val="none" w:sz="0" w:space="0" w:color="auto"/>
        <w:bottom w:val="none" w:sz="0" w:space="0" w:color="auto"/>
        <w:right w:val="none" w:sz="0" w:space="0" w:color="auto"/>
      </w:divBdr>
    </w:div>
    <w:div w:id="1326515031">
      <w:bodyDiv w:val="1"/>
      <w:marLeft w:val="0"/>
      <w:marRight w:val="0"/>
      <w:marTop w:val="0"/>
      <w:marBottom w:val="0"/>
      <w:divBdr>
        <w:top w:val="none" w:sz="0" w:space="0" w:color="auto"/>
        <w:left w:val="none" w:sz="0" w:space="0" w:color="auto"/>
        <w:bottom w:val="none" w:sz="0" w:space="0" w:color="auto"/>
        <w:right w:val="none" w:sz="0" w:space="0" w:color="auto"/>
      </w:divBdr>
    </w:div>
    <w:div w:id="1328436912">
      <w:bodyDiv w:val="1"/>
      <w:marLeft w:val="0"/>
      <w:marRight w:val="0"/>
      <w:marTop w:val="0"/>
      <w:marBottom w:val="0"/>
      <w:divBdr>
        <w:top w:val="none" w:sz="0" w:space="0" w:color="auto"/>
        <w:left w:val="none" w:sz="0" w:space="0" w:color="auto"/>
        <w:bottom w:val="none" w:sz="0" w:space="0" w:color="auto"/>
        <w:right w:val="none" w:sz="0" w:space="0" w:color="auto"/>
      </w:divBdr>
    </w:div>
    <w:div w:id="1579175102">
      <w:bodyDiv w:val="1"/>
      <w:marLeft w:val="0"/>
      <w:marRight w:val="0"/>
      <w:marTop w:val="0"/>
      <w:marBottom w:val="0"/>
      <w:divBdr>
        <w:top w:val="none" w:sz="0" w:space="0" w:color="auto"/>
        <w:left w:val="none" w:sz="0" w:space="0" w:color="auto"/>
        <w:bottom w:val="none" w:sz="0" w:space="0" w:color="auto"/>
        <w:right w:val="none" w:sz="0" w:space="0" w:color="auto"/>
      </w:divBdr>
    </w:div>
    <w:div w:id="1599561060">
      <w:bodyDiv w:val="1"/>
      <w:marLeft w:val="0"/>
      <w:marRight w:val="0"/>
      <w:marTop w:val="0"/>
      <w:marBottom w:val="0"/>
      <w:divBdr>
        <w:top w:val="none" w:sz="0" w:space="0" w:color="auto"/>
        <w:left w:val="none" w:sz="0" w:space="0" w:color="auto"/>
        <w:bottom w:val="none" w:sz="0" w:space="0" w:color="auto"/>
        <w:right w:val="none" w:sz="0" w:space="0" w:color="auto"/>
      </w:divBdr>
    </w:div>
    <w:div w:id="2121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y.buick-constable@nzba.org.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ussell%20McVeagh\DAS\Document%20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58F4-4499-4AAC-BC68-10236A3D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1924</TotalTime>
  <Pages>5</Pages>
  <Words>1406</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 Doc</vt:lpstr>
    </vt:vector>
  </TitlesOfParts>
  <Company>Russell McVeagh</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dc:title>
  <dc:subject/>
  <dc:creator>RMcV</dc:creator>
  <cp:keywords>Blank Doc</cp:keywords>
  <dc:description/>
  <cp:lastModifiedBy>Olivia Bouchier</cp:lastModifiedBy>
  <cp:revision>17</cp:revision>
  <cp:lastPrinted>2017-11-17T02:56:00Z</cp:lastPrinted>
  <dcterms:created xsi:type="dcterms:W3CDTF">2017-11-07T02:00:00Z</dcterms:created>
  <dcterms:modified xsi:type="dcterms:W3CDTF">2017-11-17T02:56:00Z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umber">
    <vt:lpwstr>3369652</vt:lpwstr>
  </property>
  <property fmtid="{D5CDD505-2E9C-101B-9397-08002B2CF9AE}" pid="3" name="PCDOCSLibrary">
    <vt:lpwstr> </vt:lpwstr>
  </property>
  <property fmtid="{D5CDD505-2E9C-101B-9397-08002B2CF9AE}" pid="4" name="ComputerName">
    <vt:lpwstr> </vt:lpwstr>
  </property>
  <property fmtid="{D5CDD505-2E9C-101B-9397-08002B2CF9AE}" pid="5" name="PCDOCSVersion">
    <vt:lpwstr>v1</vt:lpwstr>
  </property>
  <property fmtid="{D5CDD505-2E9C-101B-9397-08002B2CF9AE}" pid="6" name="iMARSTemplate">
    <vt:lpwstr>Yes</vt:lpwstr>
  </property>
</Properties>
</file>